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FE" w:rsidRDefault="00D32060">
      <w:pPr>
        <w:spacing w:before="103"/>
        <w:jc w:val="right"/>
        <w:rPr>
          <w:b/>
        </w:rPr>
      </w:pPr>
      <w:bookmarkStart w:id="0" w:name="_GoBack"/>
      <w:bookmarkEnd w:id="0"/>
      <w:r>
        <w:rPr>
          <w:b/>
        </w:rPr>
        <w:t>Allegato F/6</w:t>
      </w:r>
    </w:p>
    <w:p w:rsidR="00CD63FE" w:rsidRDefault="00D32060">
      <w:pPr>
        <w:spacing w:before="84"/>
        <w:ind w:left="213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Allegato n.9- Bilancio di previsione al D.Lgs 118/2011</w:t>
      </w:r>
    </w:p>
    <w:p w:rsidR="00CD63FE" w:rsidRDefault="00CD63FE">
      <w:pPr>
        <w:rPr>
          <w:sz w:val="16"/>
        </w:rPr>
        <w:sectPr w:rsidR="00CD63FE">
          <w:type w:val="continuous"/>
          <w:pgSz w:w="15880" w:h="12480" w:orient="landscape"/>
          <w:pgMar w:top="1040" w:right="980" w:bottom="280" w:left="1460" w:header="720" w:footer="720" w:gutter="0"/>
          <w:cols w:num="2" w:space="720" w:equalWidth="0">
            <w:col w:w="7128" w:space="40"/>
            <w:col w:w="6272"/>
          </w:cols>
        </w:sectPr>
      </w:pPr>
    </w:p>
    <w:p w:rsidR="00CD63FE" w:rsidRDefault="00CD63FE">
      <w:pPr>
        <w:pStyle w:val="Corpotesto"/>
        <w:rPr>
          <w:b/>
          <w:sz w:val="32"/>
        </w:rPr>
      </w:pPr>
    </w:p>
    <w:p w:rsidR="00CD63FE" w:rsidRDefault="00CD63FE">
      <w:pPr>
        <w:pStyle w:val="Corpotesto"/>
        <w:rPr>
          <w:b/>
          <w:sz w:val="32"/>
        </w:rPr>
      </w:pPr>
    </w:p>
    <w:p w:rsidR="00CD63FE" w:rsidRDefault="00CD63FE">
      <w:pPr>
        <w:pStyle w:val="Corpotesto"/>
        <w:spacing w:before="4"/>
        <w:rPr>
          <w:b/>
          <w:sz w:val="36"/>
        </w:rPr>
      </w:pPr>
    </w:p>
    <w:p w:rsidR="00CD63FE" w:rsidRDefault="00D32060">
      <w:pPr>
        <w:ind w:left="115"/>
        <w:rPr>
          <w:rFonts w:ascii="Courier New"/>
          <w:b/>
          <w:sz w:val="28"/>
        </w:rPr>
      </w:pPr>
      <w:r>
        <w:rPr>
          <w:rFonts w:ascii="Courier New"/>
          <w:b/>
          <w:sz w:val="28"/>
        </w:rPr>
        <w:t>allegato 05</w:t>
      </w:r>
    </w:p>
    <w:p w:rsidR="00CD63FE" w:rsidRDefault="00D32060">
      <w:pPr>
        <w:pStyle w:val="Corpotesto"/>
        <w:rPr>
          <w:rFonts w:ascii="Courier New"/>
          <w:b/>
          <w:sz w:val="20"/>
        </w:rPr>
      </w:pPr>
      <w:r>
        <w:br w:type="column"/>
      </w:r>
    </w:p>
    <w:p w:rsidR="00CD63FE" w:rsidRDefault="00D32060">
      <w:pPr>
        <w:pStyle w:val="Corpotesto"/>
        <w:spacing w:before="8"/>
        <w:rPr>
          <w:rFonts w:ascii="Courier New"/>
          <w:b/>
          <w:sz w:val="25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4740655</wp:posOffset>
            </wp:positionH>
            <wp:positionV relativeFrom="paragraph">
              <wp:posOffset>209836</wp:posOffset>
            </wp:positionV>
            <wp:extent cx="576881" cy="91678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81" cy="916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3FE" w:rsidRDefault="00D32060">
      <w:pPr>
        <w:pStyle w:val="Titolo1"/>
        <w:ind w:left="115"/>
      </w:pPr>
      <w:r>
        <w:t>REGIONE PUGLIA</w:t>
      </w:r>
    </w:p>
    <w:p w:rsidR="00CD63FE" w:rsidRDefault="00CD63FE">
      <w:pPr>
        <w:sectPr w:rsidR="00CD63FE">
          <w:type w:val="continuous"/>
          <w:pgSz w:w="15880" w:h="12480" w:orient="landscape"/>
          <w:pgMar w:top="1040" w:right="980" w:bottom="280" w:left="1460" w:header="720" w:footer="720" w:gutter="0"/>
          <w:cols w:num="2" w:space="720" w:equalWidth="0">
            <w:col w:w="2004" w:space="2424"/>
            <w:col w:w="9012"/>
          </w:cols>
        </w:sect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spacing w:before="3"/>
        <w:rPr>
          <w:rFonts w:ascii="Courier New"/>
          <w:b/>
          <w:sz w:val="20"/>
        </w:rPr>
      </w:pPr>
    </w:p>
    <w:p w:rsidR="00CD63FE" w:rsidRDefault="00D32060">
      <w:pPr>
        <w:tabs>
          <w:tab w:val="left" w:pos="5183"/>
        </w:tabs>
        <w:spacing w:before="100"/>
        <w:ind w:right="600"/>
        <w:jc w:val="center"/>
        <w:rPr>
          <w:rFonts w:ascii="Courier New"/>
          <w:sz w:val="36"/>
        </w:rPr>
      </w:pPr>
      <w:r>
        <w:rPr>
          <w:rFonts w:ascii="Courier New"/>
          <w:sz w:val="36"/>
        </w:rPr>
        <w:t>BILANCIO</w:t>
      </w:r>
      <w:r>
        <w:rPr>
          <w:rFonts w:ascii="Courier New"/>
          <w:spacing w:val="-7"/>
          <w:sz w:val="36"/>
        </w:rPr>
        <w:t xml:space="preserve"> </w:t>
      </w:r>
      <w:r>
        <w:rPr>
          <w:rFonts w:ascii="Courier New"/>
          <w:sz w:val="36"/>
        </w:rPr>
        <w:t>DI</w:t>
      </w:r>
      <w:r>
        <w:rPr>
          <w:rFonts w:ascii="Courier New"/>
          <w:spacing w:val="-7"/>
          <w:sz w:val="36"/>
        </w:rPr>
        <w:t xml:space="preserve"> </w:t>
      </w:r>
      <w:r>
        <w:rPr>
          <w:rFonts w:ascii="Courier New"/>
          <w:sz w:val="36"/>
        </w:rPr>
        <w:t>PREVISIONE</w:t>
      </w:r>
      <w:r>
        <w:rPr>
          <w:rFonts w:ascii="Courier New"/>
          <w:sz w:val="36"/>
        </w:rPr>
        <w:tab/>
        <w:t>2019-2021</w:t>
      </w:r>
    </w:p>
    <w:p w:rsidR="00CD63FE" w:rsidRDefault="00D32060">
      <w:pPr>
        <w:pStyle w:val="Titolo1"/>
        <w:spacing w:before="287"/>
        <w:ind w:right="584"/>
        <w:jc w:val="center"/>
      </w:pPr>
      <w:r>
        <w:t>EQUILIBRI DI BILANCIO</w:t>
      </w: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CD63FE">
      <w:pPr>
        <w:pStyle w:val="Corpotesto"/>
        <w:rPr>
          <w:rFonts w:ascii="Courier New"/>
          <w:b/>
          <w:sz w:val="20"/>
        </w:rPr>
      </w:pPr>
    </w:p>
    <w:p w:rsidR="00CD63FE" w:rsidRDefault="00D32060">
      <w:pPr>
        <w:pStyle w:val="Corpotesto"/>
        <w:spacing w:before="11"/>
        <w:rPr>
          <w:rFonts w:ascii="Courier New"/>
          <w:b/>
          <w:sz w:val="11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8055761</wp:posOffset>
            </wp:positionH>
            <wp:positionV relativeFrom="paragraph">
              <wp:posOffset>110965</wp:posOffset>
            </wp:positionV>
            <wp:extent cx="715425" cy="67694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25" cy="67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3FE" w:rsidRDefault="00CD63FE">
      <w:pPr>
        <w:pStyle w:val="Corpotesto"/>
        <w:spacing w:before="10"/>
        <w:rPr>
          <w:rFonts w:ascii="Courier New"/>
          <w:b/>
        </w:rPr>
      </w:pPr>
    </w:p>
    <w:p w:rsidR="00CD63FE" w:rsidRDefault="00D32060">
      <w:pPr>
        <w:pStyle w:val="Corpotesto"/>
        <w:spacing w:before="94"/>
        <w:ind w:right="549"/>
        <w:jc w:val="center"/>
      </w:pPr>
      <w:r>
        <w:t xml:space="preserve">Data di stampa :   </w:t>
      </w:r>
      <w:r>
        <w:rPr>
          <w:position w:val="-2"/>
        </w:rPr>
        <w:t>28/12/2018</w:t>
      </w:r>
    </w:p>
    <w:p w:rsidR="00CD63FE" w:rsidRDefault="00CD63FE">
      <w:pPr>
        <w:jc w:val="center"/>
        <w:sectPr w:rsidR="00CD63FE">
          <w:type w:val="continuous"/>
          <w:pgSz w:w="15880" w:h="12480" w:orient="landscape"/>
          <w:pgMar w:top="1040" w:right="9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4"/>
        <w:gridCol w:w="1428"/>
        <w:gridCol w:w="2040"/>
        <w:gridCol w:w="2011"/>
        <w:gridCol w:w="2030"/>
      </w:tblGrid>
      <w:tr w:rsidR="00CD63FE">
        <w:trPr>
          <w:trHeight w:val="1209"/>
        </w:trPr>
        <w:tc>
          <w:tcPr>
            <w:tcW w:w="10042" w:type="dxa"/>
            <w:gridSpan w:val="2"/>
          </w:tcPr>
          <w:p w:rsidR="00CD63FE" w:rsidRDefault="00CD63FE">
            <w:pPr>
              <w:pStyle w:val="TableParagraph"/>
              <w:rPr>
                <w:sz w:val="20"/>
              </w:rPr>
            </w:pPr>
          </w:p>
          <w:p w:rsidR="00CD63FE" w:rsidRDefault="00D32060">
            <w:pPr>
              <w:pStyle w:val="TableParagraph"/>
              <w:spacing w:before="166"/>
              <w:ind w:left="3275"/>
              <w:rPr>
                <w:b/>
                <w:sz w:val="18"/>
              </w:rPr>
            </w:pPr>
            <w:r>
              <w:rPr>
                <w:b/>
                <w:sz w:val="18"/>
              </w:rPr>
              <w:t>EQUILIBRIO ECONOMICO-FINANZIARIO</w:t>
            </w:r>
          </w:p>
        </w:tc>
        <w:tc>
          <w:tcPr>
            <w:tcW w:w="2040" w:type="dxa"/>
          </w:tcPr>
          <w:p w:rsidR="00CD63FE" w:rsidRDefault="00CD63FE">
            <w:pPr>
              <w:pStyle w:val="TableParagraph"/>
              <w:spacing w:before="10"/>
              <w:rPr>
                <w:sz w:val="18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81" w:right="73" w:hanging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DI RIFERIMENTO DEL BILANCIO 2019</w:t>
            </w:r>
          </w:p>
        </w:tc>
        <w:tc>
          <w:tcPr>
            <w:tcW w:w="2011" w:type="dxa"/>
          </w:tcPr>
          <w:p w:rsidR="00CD63FE" w:rsidRDefault="00CD63FE">
            <w:pPr>
              <w:pStyle w:val="TableParagraph"/>
              <w:spacing w:before="8"/>
              <w:rPr>
                <w:sz w:val="29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481" w:right="403" w:hanging="15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2020</w:t>
            </w:r>
          </w:p>
        </w:tc>
        <w:tc>
          <w:tcPr>
            <w:tcW w:w="2030" w:type="dxa"/>
          </w:tcPr>
          <w:p w:rsidR="00CD63FE" w:rsidRDefault="00CD63FE">
            <w:pPr>
              <w:pStyle w:val="TableParagraph"/>
              <w:spacing w:before="4"/>
              <w:rPr>
                <w:sz w:val="29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558" w:right="345" w:hanging="15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2021</w:t>
            </w:r>
          </w:p>
        </w:tc>
      </w:tr>
      <w:tr w:rsidR="00CD63FE">
        <w:trPr>
          <w:trHeight w:val="547"/>
        </w:trPr>
        <w:tc>
          <w:tcPr>
            <w:tcW w:w="8614" w:type="dxa"/>
            <w:tcBorders>
              <w:right w:val="nil"/>
            </w:tcBorders>
          </w:tcPr>
          <w:p w:rsidR="00CD63FE" w:rsidRDefault="00CD63FE">
            <w:pPr>
              <w:pStyle w:val="TableParagraph"/>
              <w:spacing w:before="6"/>
              <w:rPr>
                <w:sz w:val="25"/>
              </w:rPr>
            </w:pPr>
          </w:p>
          <w:p w:rsidR="00CD63FE" w:rsidRDefault="00D32060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Utilizzo risultato di amministrazione presunto per il finanziamento di spese correnti e al rimborso di prestiti</w:t>
            </w:r>
          </w:p>
        </w:tc>
        <w:tc>
          <w:tcPr>
            <w:tcW w:w="1428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5"/>
              <w:rPr>
                <w:sz w:val="26"/>
              </w:rPr>
            </w:pPr>
          </w:p>
          <w:p w:rsidR="00CD63FE" w:rsidRDefault="00D32060">
            <w:pPr>
              <w:pStyle w:val="TableParagraph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458.897.099,92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1"/>
              <w:rPr>
                <w:sz w:val="25"/>
              </w:rPr>
            </w:pPr>
          </w:p>
          <w:p w:rsidR="00CD63FE" w:rsidRDefault="00D32060">
            <w:pPr>
              <w:pStyle w:val="TableParagraph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442.377.790,21</w:t>
            </w:r>
          </w:p>
        </w:tc>
        <w:tc>
          <w:tcPr>
            <w:tcW w:w="2030" w:type="dxa"/>
            <w:tcBorders>
              <w:left w:val="nil"/>
            </w:tcBorders>
          </w:tcPr>
          <w:p w:rsidR="00CD63FE" w:rsidRDefault="00CD63FE">
            <w:pPr>
              <w:pStyle w:val="TableParagraph"/>
              <w:spacing w:before="1"/>
              <w:rPr>
                <w:sz w:val="25"/>
              </w:rPr>
            </w:pPr>
          </w:p>
          <w:p w:rsidR="00CD63FE" w:rsidRDefault="00D32060">
            <w:pPr>
              <w:pStyle w:val="TableParagraph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425.490.444,18</w:t>
            </w:r>
          </w:p>
        </w:tc>
      </w:tr>
      <w:tr w:rsidR="00CD63FE">
        <w:trPr>
          <w:trHeight w:val="486"/>
        </w:trPr>
        <w:tc>
          <w:tcPr>
            <w:tcW w:w="8614" w:type="dxa"/>
            <w:tcBorders>
              <w:right w:val="nil"/>
            </w:tcBorders>
          </w:tcPr>
          <w:p w:rsidR="00CD63FE" w:rsidRDefault="00CD63FE">
            <w:pPr>
              <w:pStyle w:val="TableParagraph"/>
              <w:spacing w:before="2"/>
              <w:rPr>
                <w:sz w:val="18"/>
              </w:rPr>
            </w:pPr>
          </w:p>
          <w:p w:rsidR="00CD63FE" w:rsidRDefault="00D32060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Ripiano disavanzo presunto di amministrazione esercizio precedente (1)</w:t>
            </w:r>
          </w:p>
        </w:tc>
        <w:tc>
          <w:tcPr>
            <w:tcW w:w="1428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7"/>
              <w:rPr>
                <w:sz w:val="23"/>
              </w:rPr>
            </w:pPr>
          </w:p>
          <w:p w:rsidR="00CD63FE" w:rsidRDefault="00D32060">
            <w:pPr>
              <w:pStyle w:val="TableParagraph"/>
              <w:spacing w:line="194" w:lineRule="exact"/>
              <w:ind w:left="70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86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16.519.309,71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87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16.887.346,03</w:t>
            </w:r>
          </w:p>
        </w:tc>
        <w:tc>
          <w:tcPr>
            <w:tcW w:w="2030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86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17.264.795,19</w:t>
            </w:r>
          </w:p>
        </w:tc>
      </w:tr>
      <w:tr w:rsidR="00CD63FE">
        <w:trPr>
          <w:trHeight w:val="431"/>
        </w:trPr>
        <w:tc>
          <w:tcPr>
            <w:tcW w:w="8614" w:type="dxa"/>
            <w:tcBorders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65"/>
              <w:ind w:left="147"/>
              <w:rPr>
                <w:sz w:val="18"/>
              </w:rPr>
            </w:pPr>
            <w:r>
              <w:rPr>
                <w:sz w:val="18"/>
              </w:rPr>
              <w:t>Fondo pluriennale vincolato per spese correnti iscritto in entrata</w:t>
            </w:r>
          </w:p>
        </w:tc>
        <w:tc>
          <w:tcPr>
            <w:tcW w:w="1428" w:type="dxa"/>
            <w:tcBorders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1"/>
              <w:rPr>
                <w:sz w:val="19"/>
              </w:rPr>
            </w:pPr>
          </w:p>
          <w:p w:rsidR="00CD63FE" w:rsidRDefault="00D32060">
            <w:pPr>
              <w:pStyle w:val="TableParagraph"/>
              <w:spacing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5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2.507.809,09</w:t>
            </w:r>
          </w:p>
        </w:tc>
        <w:tc>
          <w:tcPr>
            <w:tcW w:w="2011" w:type="dxa"/>
            <w:tcBorders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58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0" w:type="dxa"/>
            <w:tcBorders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157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442"/>
        </w:trPr>
        <w:tc>
          <w:tcPr>
            <w:tcW w:w="8614" w:type="dxa"/>
            <w:tcBorders>
              <w:top w:val="single" w:sz="2" w:space="0" w:color="0A0A0A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40"/>
              <w:ind w:left="147"/>
              <w:rPr>
                <w:sz w:val="18"/>
              </w:rPr>
            </w:pPr>
            <w:r>
              <w:rPr>
                <w:sz w:val="18"/>
              </w:rPr>
              <w:t>Entrate Titoli 1 - 2 - 3</w:t>
            </w:r>
          </w:p>
        </w:tc>
        <w:tc>
          <w:tcPr>
            <w:tcW w:w="1428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1"/>
              <w:rPr>
                <w:sz w:val="20"/>
              </w:rPr>
            </w:pPr>
          </w:p>
          <w:p w:rsidR="00CD63FE" w:rsidRDefault="00D32060">
            <w:pPr>
              <w:pStyle w:val="TableParagraph"/>
              <w:spacing w:before="1"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40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10.024.011.672,50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34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9.584.156.725,39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141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9.381.520.837,22</w:t>
            </w:r>
          </w:p>
        </w:tc>
      </w:tr>
      <w:tr w:rsidR="00CD63FE">
        <w:trPr>
          <w:trHeight w:val="643"/>
        </w:trPr>
        <w:tc>
          <w:tcPr>
            <w:tcW w:w="8614" w:type="dxa"/>
            <w:tcBorders>
              <w:top w:val="single" w:sz="2" w:space="0" w:color="0A0A0A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4" w:line="310" w:lineRule="atLeast"/>
              <w:ind w:left="147" w:right="1140"/>
              <w:rPr>
                <w:sz w:val="18"/>
              </w:rPr>
            </w:pPr>
            <w:r>
              <w:rPr>
                <w:sz w:val="18"/>
              </w:rPr>
              <w:t>Entrate in conto capitale per Contributi agli investimenti direttamente destinati al rimborso dei prestiti da amministrazioni pubbliche(2)</w:t>
            </w:r>
          </w:p>
        </w:tc>
        <w:tc>
          <w:tcPr>
            <w:tcW w:w="1428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rPr>
                <w:sz w:val="20"/>
              </w:rPr>
            </w:pPr>
          </w:p>
          <w:p w:rsidR="00CD63FE" w:rsidRDefault="00D32060">
            <w:pPr>
              <w:pStyle w:val="TableParagraph"/>
              <w:spacing w:before="136"/>
              <w:ind w:left="70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8"/>
              <w:rPr>
                <w:sz w:val="23"/>
              </w:rPr>
            </w:pPr>
          </w:p>
          <w:p w:rsidR="00CD63FE" w:rsidRDefault="00D32060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8"/>
              <w:rPr>
                <w:sz w:val="23"/>
              </w:rPr>
            </w:pPr>
          </w:p>
          <w:p w:rsidR="00CD63FE" w:rsidRDefault="00D32060">
            <w:pPr>
              <w:pStyle w:val="TableParagraph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CD63FE">
            <w:pPr>
              <w:pStyle w:val="TableParagraph"/>
              <w:spacing w:before="8"/>
              <w:rPr>
                <w:sz w:val="23"/>
              </w:rPr>
            </w:pPr>
          </w:p>
          <w:p w:rsidR="00CD63FE" w:rsidRDefault="00D32060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508"/>
        </w:trPr>
        <w:tc>
          <w:tcPr>
            <w:tcW w:w="8614" w:type="dxa"/>
            <w:tcBorders>
              <w:top w:val="single" w:sz="2" w:space="0" w:color="0A0A0A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8"/>
              <w:rPr>
                <w:sz w:val="18"/>
              </w:rPr>
            </w:pPr>
          </w:p>
          <w:p w:rsidR="00CD63FE" w:rsidRDefault="00D32060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Entrate Titolo 4.03 - Altri trasferimenti in conto capitale</w:t>
            </w:r>
          </w:p>
        </w:tc>
        <w:tc>
          <w:tcPr>
            <w:tcW w:w="1428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9"/>
              <w:rPr>
                <w:sz w:val="25"/>
              </w:rPr>
            </w:pPr>
          </w:p>
          <w:p w:rsidR="00CD63FE" w:rsidRDefault="00D32060">
            <w:pPr>
              <w:pStyle w:val="TableParagraph"/>
              <w:spacing w:before="1"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9"/>
              <w:rPr>
                <w:sz w:val="17"/>
              </w:rPr>
            </w:pPr>
          </w:p>
          <w:p w:rsidR="00CD63FE" w:rsidRDefault="00D32060"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5.582.551,31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9"/>
              <w:rPr>
                <w:sz w:val="17"/>
              </w:rPr>
            </w:pPr>
          </w:p>
          <w:p w:rsidR="00CD63FE" w:rsidRDefault="00D32060">
            <w:pPr>
              <w:pStyle w:val="TableParagraph"/>
              <w:spacing w:before="1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CD63FE">
            <w:pPr>
              <w:pStyle w:val="TableParagraph"/>
              <w:spacing w:before="9"/>
              <w:rPr>
                <w:sz w:val="17"/>
              </w:rPr>
            </w:pPr>
          </w:p>
          <w:p w:rsidR="00CD63FE" w:rsidRDefault="00D32060">
            <w:pPr>
              <w:pStyle w:val="TableParagraph"/>
              <w:spacing w:before="1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453"/>
        </w:trPr>
        <w:tc>
          <w:tcPr>
            <w:tcW w:w="8614" w:type="dxa"/>
            <w:tcBorders>
              <w:top w:val="single" w:sz="2" w:space="0" w:color="0A0A0A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56"/>
              <w:ind w:left="147"/>
              <w:rPr>
                <w:sz w:val="18"/>
              </w:rPr>
            </w:pPr>
            <w:r>
              <w:rPr>
                <w:sz w:val="18"/>
              </w:rPr>
              <w:t>Entrate in c/capitale destinate all'estinzione anticipata di prestiti (3)</w:t>
            </w:r>
          </w:p>
        </w:tc>
        <w:tc>
          <w:tcPr>
            <w:tcW w:w="1428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rPr>
                <w:sz w:val="21"/>
              </w:rPr>
            </w:pPr>
          </w:p>
          <w:p w:rsidR="00CD63FE" w:rsidRDefault="00D32060">
            <w:pPr>
              <w:pStyle w:val="TableParagraph"/>
              <w:spacing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4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49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148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457"/>
        </w:trPr>
        <w:tc>
          <w:tcPr>
            <w:tcW w:w="8614" w:type="dxa"/>
            <w:tcBorders>
              <w:top w:val="single" w:sz="2" w:space="0" w:color="0A0A0A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56"/>
              <w:ind w:left="147"/>
              <w:rPr>
                <w:sz w:val="18"/>
              </w:rPr>
            </w:pPr>
            <w:r>
              <w:rPr>
                <w:sz w:val="18"/>
              </w:rPr>
              <w:t>Entrate per accensione di prestiti destinate all'estinzione anticipata di prestiti</w:t>
            </w:r>
          </w:p>
        </w:tc>
        <w:tc>
          <w:tcPr>
            <w:tcW w:w="1428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rPr>
                <w:sz w:val="21"/>
              </w:rPr>
            </w:pPr>
          </w:p>
          <w:p w:rsidR="00CD63FE" w:rsidRDefault="00D32060">
            <w:pPr>
              <w:pStyle w:val="TableParagraph"/>
              <w:spacing w:line="195" w:lineRule="exact"/>
              <w:ind w:left="70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4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48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148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633"/>
        </w:trPr>
        <w:tc>
          <w:tcPr>
            <w:tcW w:w="8614" w:type="dxa"/>
            <w:tcBorders>
              <w:top w:val="single" w:sz="2" w:space="0" w:color="0A0A0A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23" w:line="316" w:lineRule="exact"/>
              <w:ind w:left="147" w:right="1079"/>
              <w:rPr>
                <w:sz w:val="18"/>
              </w:rPr>
            </w:pPr>
            <w:r>
              <w:rPr>
                <w:sz w:val="18"/>
              </w:rPr>
              <w:t>Entrate di parte capitale destinate a spese correnti in base a specifiche disposizioni di legge o dei principi contabili</w:t>
            </w:r>
          </w:p>
        </w:tc>
        <w:tc>
          <w:tcPr>
            <w:tcW w:w="1428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rPr>
                <w:sz w:val="20"/>
              </w:rPr>
            </w:pPr>
          </w:p>
          <w:p w:rsidR="00CD63FE" w:rsidRDefault="00CD63FE">
            <w:pPr>
              <w:pStyle w:val="TableParagraph"/>
              <w:spacing w:before="9"/>
              <w:rPr>
                <w:sz w:val="15"/>
              </w:rPr>
            </w:pPr>
          </w:p>
          <w:p w:rsidR="00CD63FE" w:rsidRDefault="00D32060">
            <w:pPr>
              <w:pStyle w:val="TableParagraph"/>
              <w:spacing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7"/>
              <w:rPr>
                <w:sz w:val="27"/>
              </w:rPr>
            </w:pPr>
          </w:p>
          <w:p w:rsidR="00CD63FE" w:rsidRDefault="00D32060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8"/>
              <w:rPr>
                <w:sz w:val="27"/>
              </w:rPr>
            </w:pPr>
          </w:p>
          <w:p w:rsidR="00CD63FE" w:rsidRDefault="00D32060">
            <w:pPr>
              <w:pStyle w:val="TableParagraph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CD63FE">
            <w:pPr>
              <w:pStyle w:val="TableParagraph"/>
              <w:spacing w:before="7"/>
              <w:rPr>
                <w:sz w:val="27"/>
              </w:rPr>
            </w:pPr>
          </w:p>
          <w:p w:rsidR="00CD63FE" w:rsidRDefault="00D32060"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425"/>
        </w:trPr>
        <w:tc>
          <w:tcPr>
            <w:tcW w:w="8614" w:type="dxa"/>
            <w:tcBorders>
              <w:top w:val="single" w:sz="2" w:space="0" w:color="0A0A0A"/>
              <w:left w:val="single" w:sz="2" w:space="0" w:color="0A0A0A"/>
              <w:bottom w:val="nil"/>
              <w:right w:val="nil"/>
            </w:tcBorders>
          </w:tcPr>
          <w:p w:rsidR="00CD63FE" w:rsidRDefault="00D32060">
            <w:pPr>
              <w:pStyle w:val="TableParagraph"/>
              <w:spacing w:before="48"/>
              <w:ind w:left="147"/>
              <w:rPr>
                <w:sz w:val="18"/>
              </w:rPr>
            </w:pPr>
            <w:r>
              <w:rPr>
                <w:sz w:val="18"/>
              </w:rPr>
              <w:t>Spese correnti</w:t>
            </w:r>
          </w:p>
        </w:tc>
        <w:tc>
          <w:tcPr>
            <w:tcW w:w="1428" w:type="dxa"/>
            <w:tcBorders>
              <w:top w:val="single" w:sz="2" w:space="0" w:color="0A0A0A"/>
              <w:left w:val="nil"/>
              <w:bottom w:val="nil"/>
              <w:right w:val="nil"/>
            </w:tcBorders>
          </w:tcPr>
          <w:p w:rsidR="00CD63FE" w:rsidRDefault="00D32060">
            <w:pPr>
              <w:pStyle w:val="TableParagraph"/>
              <w:spacing w:before="150"/>
              <w:ind w:left="70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nil"/>
              <w:right w:val="nil"/>
            </w:tcBorders>
          </w:tcPr>
          <w:p w:rsidR="00CD63FE" w:rsidRDefault="00D32060">
            <w:pPr>
              <w:pStyle w:val="TableParagraph"/>
              <w:spacing w:before="4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9.715.710.420,74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nil"/>
              <w:right w:val="nil"/>
            </w:tcBorders>
          </w:tcPr>
          <w:p w:rsidR="00CD63FE" w:rsidRDefault="00D32060">
            <w:pPr>
              <w:pStyle w:val="TableParagraph"/>
              <w:spacing w:before="49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9.224.006.316,30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nil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48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9.165.974.993,28</w:t>
            </w:r>
          </w:p>
        </w:tc>
      </w:tr>
      <w:tr w:rsidR="00CD63FE">
        <w:trPr>
          <w:trHeight w:val="318"/>
        </w:trPr>
        <w:tc>
          <w:tcPr>
            <w:tcW w:w="8614" w:type="dxa"/>
            <w:tcBorders>
              <w:top w:val="nil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66"/>
              <w:ind w:left="327"/>
              <w:rPr>
                <w:sz w:val="18"/>
              </w:rPr>
            </w:pPr>
            <w:r>
              <w:rPr>
                <w:position w:val="1"/>
                <w:sz w:val="18"/>
              </w:rPr>
              <w:t xml:space="preserve">- di cui: </w:t>
            </w:r>
            <w:r>
              <w:rPr>
                <w:sz w:val="18"/>
              </w:rPr>
              <w:t>fondo pluriennale vincolato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6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62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62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442"/>
        </w:trPr>
        <w:tc>
          <w:tcPr>
            <w:tcW w:w="8614" w:type="dxa"/>
            <w:tcBorders>
              <w:top w:val="single" w:sz="2" w:space="0" w:color="0A0A0A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45"/>
              <w:ind w:left="147"/>
              <w:rPr>
                <w:sz w:val="18"/>
              </w:rPr>
            </w:pPr>
            <w:r>
              <w:rPr>
                <w:sz w:val="18"/>
              </w:rPr>
              <w:t>Spese Titolo 2.04 - Altri trasferimenti in conto capitale</w:t>
            </w:r>
          </w:p>
        </w:tc>
        <w:tc>
          <w:tcPr>
            <w:tcW w:w="1428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1"/>
              <w:rPr>
                <w:sz w:val="20"/>
              </w:rPr>
            </w:pPr>
          </w:p>
          <w:p w:rsidR="00CD63FE" w:rsidRDefault="00D32060">
            <w:pPr>
              <w:pStyle w:val="TableParagraph"/>
              <w:spacing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3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14.924.157,72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38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5.564.700,00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137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5.448.504,15</w:t>
            </w:r>
          </w:p>
        </w:tc>
      </w:tr>
      <w:tr w:rsidR="00CD63FE">
        <w:trPr>
          <w:trHeight w:val="435"/>
        </w:trPr>
        <w:tc>
          <w:tcPr>
            <w:tcW w:w="8614" w:type="dxa"/>
            <w:tcBorders>
              <w:top w:val="single" w:sz="2" w:space="0" w:color="0A0A0A"/>
              <w:left w:val="single" w:sz="2" w:space="0" w:color="0A0A0A"/>
              <w:bottom w:val="single" w:sz="2" w:space="0" w:color="0A0A0A"/>
              <w:right w:val="nil"/>
            </w:tcBorders>
            <w:shd w:val="clear" w:color="auto" w:fill="BFFFFF"/>
          </w:tcPr>
          <w:p w:rsidR="00CD63FE" w:rsidRDefault="00D32060">
            <w:pPr>
              <w:pStyle w:val="TableParagraph"/>
              <w:spacing w:before="156"/>
              <w:ind w:left="147"/>
              <w:rPr>
                <w:sz w:val="18"/>
              </w:rPr>
            </w:pPr>
            <w:r>
              <w:rPr>
                <w:sz w:val="18"/>
              </w:rPr>
              <w:t>Variazioni di attività finanziarie (se negativo)</w:t>
            </w:r>
          </w:p>
        </w:tc>
        <w:tc>
          <w:tcPr>
            <w:tcW w:w="1428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  <w:shd w:val="clear" w:color="auto" w:fill="BFFFFF"/>
          </w:tcPr>
          <w:p w:rsidR="00CD63FE" w:rsidRDefault="00CD63FE">
            <w:pPr>
              <w:pStyle w:val="TableParagraph"/>
              <w:spacing w:before="5"/>
              <w:rPr>
                <w:sz w:val="19"/>
              </w:rPr>
            </w:pPr>
          </w:p>
          <w:p w:rsidR="00CD63FE" w:rsidRDefault="00D32060">
            <w:pPr>
              <w:pStyle w:val="TableParagraph"/>
              <w:spacing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  <w:shd w:val="clear" w:color="auto" w:fill="BFFFFF"/>
          </w:tcPr>
          <w:p w:rsidR="00CD63FE" w:rsidRDefault="00D32060">
            <w:pPr>
              <w:pStyle w:val="TableParagraph"/>
              <w:spacing w:before="12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  <w:shd w:val="clear" w:color="auto" w:fill="BFFFFF"/>
          </w:tcPr>
          <w:p w:rsidR="00CD63FE" w:rsidRDefault="00D32060">
            <w:pPr>
              <w:pStyle w:val="TableParagraph"/>
              <w:spacing w:before="143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single" w:sz="2" w:space="0" w:color="0A0A0A"/>
              <w:right w:val="single" w:sz="2" w:space="0" w:color="0A0A0A"/>
            </w:tcBorders>
            <w:shd w:val="clear" w:color="auto" w:fill="BFFFFF"/>
          </w:tcPr>
          <w:p w:rsidR="00CD63FE" w:rsidRDefault="00D32060">
            <w:pPr>
              <w:pStyle w:val="TableParagraph"/>
              <w:spacing w:before="164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664"/>
        </w:trPr>
        <w:tc>
          <w:tcPr>
            <w:tcW w:w="8614" w:type="dxa"/>
            <w:tcBorders>
              <w:top w:val="single" w:sz="2" w:space="0" w:color="0A0A0A"/>
              <w:left w:val="single" w:sz="2" w:space="0" w:color="0A0A0A"/>
              <w:bottom w:val="nil"/>
              <w:right w:val="nil"/>
            </w:tcBorders>
          </w:tcPr>
          <w:p w:rsidR="00CD63FE" w:rsidRDefault="00D32060">
            <w:pPr>
              <w:pStyle w:val="TableParagraph"/>
              <w:spacing w:before="68"/>
              <w:ind w:left="147"/>
              <w:rPr>
                <w:sz w:val="18"/>
              </w:rPr>
            </w:pPr>
            <w:r>
              <w:rPr>
                <w:sz w:val="18"/>
              </w:rPr>
              <w:t>Rimborso Prestiti</w:t>
            </w:r>
          </w:p>
          <w:p w:rsidR="00CD63FE" w:rsidRDefault="00D32060">
            <w:pPr>
              <w:pStyle w:val="TableParagraph"/>
              <w:spacing w:before="153"/>
              <w:ind w:left="325"/>
              <w:rPr>
                <w:sz w:val="18"/>
              </w:rPr>
            </w:pPr>
            <w:r>
              <w:rPr>
                <w:sz w:val="18"/>
              </w:rPr>
              <w:t>- di cui Fondo anticipazioni di liquidità (DL 35/2013 e successive modifiche e rifinanziamenti)</w:t>
            </w:r>
          </w:p>
        </w:tc>
        <w:tc>
          <w:tcPr>
            <w:tcW w:w="1428" w:type="dxa"/>
            <w:tcBorders>
              <w:top w:val="single" w:sz="2" w:space="0" w:color="0A0A0A"/>
              <w:left w:val="nil"/>
              <w:bottom w:val="nil"/>
              <w:right w:val="nil"/>
            </w:tcBorders>
          </w:tcPr>
          <w:p w:rsidR="00CD63FE" w:rsidRDefault="00CD63FE">
            <w:pPr>
              <w:pStyle w:val="TableParagraph"/>
              <w:spacing w:before="6"/>
              <w:rPr>
                <w:sz w:val="21"/>
              </w:rPr>
            </w:pPr>
          </w:p>
          <w:p w:rsidR="00CD63FE" w:rsidRDefault="00D32060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nil"/>
              <w:right w:val="nil"/>
            </w:tcBorders>
          </w:tcPr>
          <w:p w:rsidR="00CD63FE" w:rsidRDefault="00D32060">
            <w:pPr>
              <w:pStyle w:val="TableParagraph"/>
              <w:spacing w:before="69"/>
              <w:ind w:left="691"/>
              <w:rPr>
                <w:sz w:val="18"/>
              </w:rPr>
            </w:pPr>
            <w:r>
              <w:rPr>
                <w:sz w:val="18"/>
              </w:rPr>
              <w:t>516.147.007,87</w:t>
            </w:r>
          </w:p>
          <w:p w:rsidR="00CD63FE" w:rsidRDefault="00D32060">
            <w:pPr>
              <w:pStyle w:val="TableParagraph"/>
              <w:spacing w:before="114"/>
              <w:ind w:left="690"/>
              <w:rPr>
                <w:sz w:val="18"/>
              </w:rPr>
            </w:pPr>
            <w:r>
              <w:rPr>
                <w:sz w:val="18"/>
              </w:rPr>
              <w:t>442.377.790,21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nil"/>
              <w:right w:val="nil"/>
            </w:tcBorders>
          </w:tcPr>
          <w:p w:rsidR="00CD63FE" w:rsidRDefault="00D32060">
            <w:pPr>
              <w:pStyle w:val="TableParagraph"/>
              <w:spacing w:before="69"/>
              <w:ind w:left="624"/>
              <w:rPr>
                <w:sz w:val="18"/>
              </w:rPr>
            </w:pPr>
            <w:r>
              <w:rPr>
                <w:sz w:val="18"/>
              </w:rPr>
              <w:t>486.786.309,41</w:t>
            </w:r>
          </w:p>
          <w:p w:rsidR="00CD63FE" w:rsidRDefault="00D32060">
            <w:pPr>
              <w:pStyle w:val="TableParagraph"/>
              <w:spacing w:before="115"/>
              <w:ind w:left="624"/>
              <w:rPr>
                <w:sz w:val="18"/>
              </w:rPr>
            </w:pPr>
            <w:r>
              <w:rPr>
                <w:sz w:val="18"/>
              </w:rPr>
              <w:t>425.490.444,18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nil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69"/>
              <w:ind w:left="688"/>
              <w:rPr>
                <w:sz w:val="18"/>
              </w:rPr>
            </w:pPr>
            <w:r>
              <w:rPr>
                <w:sz w:val="18"/>
              </w:rPr>
              <w:t>471.414.418,54</w:t>
            </w:r>
          </w:p>
          <w:p w:rsidR="00CD63FE" w:rsidRDefault="00D32060">
            <w:pPr>
              <w:pStyle w:val="TableParagraph"/>
              <w:spacing w:before="114"/>
              <w:ind w:left="689"/>
              <w:rPr>
                <w:sz w:val="18"/>
              </w:rPr>
            </w:pPr>
            <w:r>
              <w:rPr>
                <w:sz w:val="18"/>
              </w:rPr>
              <w:t>408.225.648,99</w:t>
            </w:r>
          </w:p>
        </w:tc>
      </w:tr>
      <w:tr w:rsidR="00CD63FE">
        <w:trPr>
          <w:trHeight w:val="265"/>
        </w:trPr>
        <w:tc>
          <w:tcPr>
            <w:tcW w:w="8614" w:type="dxa"/>
            <w:tcBorders>
              <w:top w:val="nil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23"/>
              <w:ind w:left="310"/>
              <w:rPr>
                <w:sz w:val="18"/>
              </w:rPr>
            </w:pPr>
            <w:r>
              <w:rPr>
                <w:sz w:val="18"/>
              </w:rPr>
              <w:t>- di cui per estinzione anticipata di prestiti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2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24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24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404"/>
        </w:trPr>
        <w:tc>
          <w:tcPr>
            <w:tcW w:w="10042" w:type="dxa"/>
            <w:gridSpan w:val="2"/>
            <w:tcBorders>
              <w:top w:val="single" w:sz="2" w:space="0" w:color="0A0A0A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73"/>
              <w:ind w:left="6352"/>
              <w:rPr>
                <w:b/>
                <w:sz w:val="18"/>
              </w:rPr>
            </w:pPr>
            <w:r>
              <w:rPr>
                <w:b/>
                <w:sz w:val="18"/>
              </w:rPr>
              <w:t>A) EQUILIBRIO DI PARTE CORRENTE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1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227.698.236,78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15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293.289.843,86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114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146.908.570,24</w:t>
            </w:r>
          </w:p>
        </w:tc>
      </w:tr>
    </w:tbl>
    <w:p w:rsidR="00CD63FE" w:rsidRDefault="00CD63FE">
      <w:pPr>
        <w:jc w:val="right"/>
        <w:rPr>
          <w:sz w:val="18"/>
        </w:rPr>
        <w:sectPr w:rsidR="00CD63FE">
          <w:headerReference w:type="default" r:id="rId10"/>
          <w:footerReference w:type="default" r:id="rId11"/>
          <w:pgSz w:w="16440" w:h="12480" w:orient="landscape"/>
          <w:pgMar w:top="1460" w:right="80" w:bottom="360" w:left="20" w:header="35" w:footer="163" w:gutter="0"/>
          <w:pgNumType w:start="2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9"/>
        <w:gridCol w:w="3486"/>
        <w:gridCol w:w="1698"/>
        <w:gridCol w:w="2040"/>
        <w:gridCol w:w="2011"/>
        <w:gridCol w:w="2029"/>
      </w:tblGrid>
      <w:tr w:rsidR="00CD63FE">
        <w:trPr>
          <w:trHeight w:val="1209"/>
        </w:trPr>
        <w:tc>
          <w:tcPr>
            <w:tcW w:w="10043" w:type="dxa"/>
            <w:gridSpan w:val="3"/>
          </w:tcPr>
          <w:p w:rsidR="00CD63FE" w:rsidRDefault="00CD63FE">
            <w:pPr>
              <w:pStyle w:val="TableParagraph"/>
              <w:rPr>
                <w:sz w:val="20"/>
              </w:rPr>
            </w:pPr>
          </w:p>
          <w:p w:rsidR="00CD63FE" w:rsidRDefault="00D32060">
            <w:pPr>
              <w:pStyle w:val="TableParagraph"/>
              <w:spacing w:before="166"/>
              <w:ind w:left="3275"/>
              <w:rPr>
                <w:b/>
                <w:sz w:val="18"/>
              </w:rPr>
            </w:pPr>
            <w:r>
              <w:rPr>
                <w:b/>
                <w:sz w:val="18"/>
              </w:rPr>
              <w:t>EQUILIBRIO ECONOMICO-FINANZIARIO</w:t>
            </w:r>
          </w:p>
        </w:tc>
        <w:tc>
          <w:tcPr>
            <w:tcW w:w="2040" w:type="dxa"/>
          </w:tcPr>
          <w:p w:rsidR="00CD63FE" w:rsidRDefault="00CD63FE">
            <w:pPr>
              <w:pStyle w:val="TableParagraph"/>
              <w:spacing w:before="10"/>
              <w:rPr>
                <w:sz w:val="18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80" w:right="74" w:hanging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DI RIFERIMENTO DEL BILANCIO 2019</w:t>
            </w:r>
          </w:p>
        </w:tc>
        <w:tc>
          <w:tcPr>
            <w:tcW w:w="2011" w:type="dxa"/>
          </w:tcPr>
          <w:p w:rsidR="00CD63FE" w:rsidRDefault="00CD63FE">
            <w:pPr>
              <w:pStyle w:val="TableParagraph"/>
              <w:spacing w:before="8"/>
              <w:rPr>
                <w:sz w:val="29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480" w:right="404" w:hanging="15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2020</w:t>
            </w:r>
          </w:p>
        </w:tc>
        <w:tc>
          <w:tcPr>
            <w:tcW w:w="2029" w:type="dxa"/>
          </w:tcPr>
          <w:p w:rsidR="00CD63FE" w:rsidRDefault="00CD63FE">
            <w:pPr>
              <w:pStyle w:val="TableParagraph"/>
              <w:spacing w:before="4"/>
              <w:rPr>
                <w:sz w:val="29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557" w:right="345" w:hanging="15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2021</w:t>
            </w:r>
          </w:p>
        </w:tc>
      </w:tr>
      <w:tr w:rsidR="00CD63FE">
        <w:trPr>
          <w:trHeight w:val="528"/>
        </w:trPr>
        <w:tc>
          <w:tcPr>
            <w:tcW w:w="8345" w:type="dxa"/>
            <w:gridSpan w:val="2"/>
            <w:tcBorders>
              <w:right w:val="nil"/>
            </w:tcBorders>
          </w:tcPr>
          <w:p w:rsidR="00CD63FE" w:rsidRDefault="00CD63FE">
            <w:pPr>
              <w:pStyle w:val="TableParagraph"/>
              <w:spacing w:before="1"/>
              <w:rPr>
                <w:sz w:val="16"/>
              </w:rPr>
            </w:pPr>
          </w:p>
          <w:p w:rsidR="00CD63FE" w:rsidRDefault="00D32060">
            <w:pPr>
              <w:pStyle w:val="TableParagraph"/>
              <w:spacing w:before="1"/>
              <w:ind w:left="132"/>
              <w:rPr>
                <w:sz w:val="18"/>
              </w:rPr>
            </w:pPr>
            <w:r>
              <w:rPr>
                <w:sz w:val="18"/>
              </w:rPr>
              <w:t>Utilizzo risultato presunto di amministrazione vincolato per il finanziamento di spese d'investimento</w:t>
            </w: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58"/>
              <w:ind w:left="369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48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41.139.000,00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6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29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178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525"/>
        </w:trPr>
        <w:tc>
          <w:tcPr>
            <w:tcW w:w="8345" w:type="dxa"/>
            <w:gridSpan w:val="2"/>
            <w:tcBorders>
              <w:right w:val="nil"/>
            </w:tcBorders>
          </w:tcPr>
          <w:p w:rsidR="00CD63FE" w:rsidRDefault="00D32060">
            <w:pPr>
              <w:pStyle w:val="TableParagraph"/>
              <w:spacing w:before="161"/>
              <w:ind w:left="132"/>
              <w:rPr>
                <w:sz w:val="18"/>
              </w:rPr>
            </w:pPr>
            <w:r>
              <w:rPr>
                <w:sz w:val="18"/>
              </w:rPr>
              <w:t>Fondo pluriennale vincolato per spese in conto capitale iscritto in entrata</w:t>
            </w: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62"/>
              <w:ind w:left="369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53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42.696.831,35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5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14.977.384,14</w:t>
            </w:r>
          </w:p>
        </w:tc>
        <w:tc>
          <w:tcPr>
            <w:tcW w:w="2029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153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2.107.634,21</w:t>
            </w:r>
          </w:p>
        </w:tc>
      </w:tr>
      <w:tr w:rsidR="00CD63FE">
        <w:trPr>
          <w:trHeight w:val="522"/>
        </w:trPr>
        <w:tc>
          <w:tcPr>
            <w:tcW w:w="8345" w:type="dxa"/>
            <w:gridSpan w:val="2"/>
            <w:tcBorders>
              <w:right w:val="nil"/>
            </w:tcBorders>
          </w:tcPr>
          <w:p w:rsidR="00CD63FE" w:rsidRDefault="00D32060">
            <w:pPr>
              <w:pStyle w:val="TableParagraph"/>
              <w:spacing w:before="123"/>
              <w:ind w:left="132"/>
              <w:rPr>
                <w:sz w:val="18"/>
              </w:rPr>
            </w:pPr>
            <w:r>
              <w:rPr>
                <w:sz w:val="18"/>
              </w:rPr>
              <w:t>Entrate in conto capitale (Titolo 4)</w:t>
            </w: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56"/>
              <w:ind w:left="369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4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1.361.755.679,28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46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834.436.242,83</w:t>
            </w:r>
          </w:p>
        </w:tc>
        <w:tc>
          <w:tcPr>
            <w:tcW w:w="2029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145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394.250.044,87</w:t>
            </w:r>
          </w:p>
        </w:tc>
      </w:tr>
      <w:tr w:rsidR="00CD63FE">
        <w:trPr>
          <w:trHeight w:val="483"/>
        </w:trPr>
        <w:tc>
          <w:tcPr>
            <w:tcW w:w="8345" w:type="dxa"/>
            <w:gridSpan w:val="2"/>
            <w:tcBorders>
              <w:right w:val="nil"/>
            </w:tcBorders>
          </w:tcPr>
          <w:p w:rsidR="00CD63FE" w:rsidRDefault="00D32060">
            <w:pPr>
              <w:pStyle w:val="TableParagraph"/>
              <w:spacing w:before="136"/>
              <w:ind w:left="132"/>
              <w:rPr>
                <w:sz w:val="18"/>
              </w:rPr>
            </w:pPr>
            <w:r>
              <w:rPr>
                <w:sz w:val="18"/>
              </w:rPr>
              <w:t>Entrate Titolo 5.01.01- Alienazioni di partecipazioni</w:t>
            </w: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60"/>
              <w:ind w:left="369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04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90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29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90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520"/>
        </w:trPr>
        <w:tc>
          <w:tcPr>
            <w:tcW w:w="8345" w:type="dxa"/>
            <w:gridSpan w:val="2"/>
            <w:tcBorders>
              <w:right w:val="nil"/>
            </w:tcBorders>
          </w:tcPr>
          <w:p w:rsidR="00CD63FE" w:rsidRDefault="00D32060">
            <w:pPr>
              <w:pStyle w:val="TableParagraph"/>
              <w:spacing w:before="134"/>
              <w:ind w:left="132"/>
              <w:rPr>
                <w:sz w:val="18"/>
              </w:rPr>
            </w:pPr>
            <w:r>
              <w:rPr>
                <w:sz w:val="18"/>
              </w:rPr>
              <w:t>Entrate per accensione di prestiti (Titolo 6)</w:t>
            </w: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20"/>
              <w:ind w:left="369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40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57.510.640,78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2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39.423.652,44</w:t>
            </w:r>
          </w:p>
        </w:tc>
        <w:tc>
          <w:tcPr>
            <w:tcW w:w="2029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125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952"/>
        </w:trPr>
        <w:tc>
          <w:tcPr>
            <w:tcW w:w="8345" w:type="dxa"/>
            <w:gridSpan w:val="2"/>
            <w:tcBorders>
              <w:right w:val="nil"/>
            </w:tcBorders>
          </w:tcPr>
          <w:p w:rsidR="00CD63FE" w:rsidRDefault="00CD63FE">
            <w:pPr>
              <w:pStyle w:val="TableParagraph"/>
              <w:spacing w:before="6"/>
              <w:rPr>
                <w:sz w:val="18"/>
              </w:rPr>
            </w:pPr>
          </w:p>
          <w:p w:rsidR="00CD63FE" w:rsidRDefault="00D32060">
            <w:pPr>
              <w:pStyle w:val="TableParagraph"/>
              <w:spacing w:line="364" w:lineRule="auto"/>
              <w:ind w:left="132" w:right="306"/>
              <w:rPr>
                <w:sz w:val="18"/>
              </w:rPr>
            </w:pPr>
            <w:r>
              <w:rPr>
                <w:sz w:val="18"/>
              </w:rPr>
              <w:t>Entrate in conto capitale per Contributi agli investimenti direttamente destinati al rimborso dei prestiti da amministrazioni pubbliche(2)</w:t>
            </w: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rPr>
                <w:sz w:val="20"/>
              </w:rPr>
            </w:pPr>
          </w:p>
          <w:p w:rsidR="00CD63FE" w:rsidRDefault="00D32060">
            <w:pPr>
              <w:pStyle w:val="TableParagraph"/>
              <w:spacing w:before="176"/>
              <w:ind w:left="369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rPr>
                <w:sz w:val="20"/>
              </w:rPr>
            </w:pPr>
          </w:p>
          <w:p w:rsidR="00CD63FE" w:rsidRDefault="00D32060">
            <w:pPr>
              <w:pStyle w:val="TableParagraph"/>
              <w:spacing w:before="151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rPr>
                <w:sz w:val="20"/>
              </w:rPr>
            </w:pPr>
          </w:p>
          <w:p w:rsidR="00CD63FE" w:rsidRDefault="00D32060">
            <w:pPr>
              <w:pStyle w:val="TableParagraph"/>
              <w:spacing w:before="167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29" w:type="dxa"/>
            <w:tcBorders>
              <w:left w:val="nil"/>
            </w:tcBorders>
          </w:tcPr>
          <w:p w:rsidR="00CD63FE" w:rsidRDefault="00CD63FE">
            <w:pPr>
              <w:pStyle w:val="TableParagraph"/>
              <w:rPr>
                <w:sz w:val="20"/>
              </w:rPr>
            </w:pPr>
          </w:p>
          <w:p w:rsidR="00CD63FE" w:rsidRDefault="00D32060">
            <w:pPr>
              <w:pStyle w:val="TableParagraph"/>
              <w:spacing w:before="166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526"/>
        </w:trPr>
        <w:tc>
          <w:tcPr>
            <w:tcW w:w="8345" w:type="dxa"/>
            <w:gridSpan w:val="2"/>
            <w:tcBorders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54"/>
              <w:ind w:left="132"/>
              <w:rPr>
                <w:sz w:val="18"/>
              </w:rPr>
            </w:pPr>
            <w:r>
              <w:rPr>
                <w:sz w:val="18"/>
              </w:rPr>
              <w:t>Entrate in c/capitale destinate all'estinzione anticipata di prestiti (3)</w:t>
            </w:r>
          </w:p>
        </w:tc>
        <w:tc>
          <w:tcPr>
            <w:tcW w:w="1698" w:type="dxa"/>
            <w:tcBorders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56"/>
              <w:ind w:left="369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46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46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29" w:type="dxa"/>
            <w:tcBorders>
              <w:left w:val="nil"/>
              <w:bottom w:val="single" w:sz="2" w:space="0" w:color="0A0A0A"/>
            </w:tcBorders>
          </w:tcPr>
          <w:p w:rsidR="00CD63FE" w:rsidRDefault="00D32060">
            <w:pPr>
              <w:pStyle w:val="TableParagraph"/>
              <w:spacing w:before="146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639"/>
        </w:trPr>
        <w:tc>
          <w:tcPr>
            <w:tcW w:w="8345" w:type="dxa"/>
            <w:gridSpan w:val="2"/>
            <w:tcBorders>
              <w:top w:val="single" w:sz="2" w:space="0" w:color="0A0A0A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24" w:line="316" w:lineRule="exact"/>
              <w:ind w:left="132" w:right="825"/>
              <w:rPr>
                <w:sz w:val="18"/>
              </w:rPr>
            </w:pPr>
            <w:r>
              <w:rPr>
                <w:sz w:val="18"/>
              </w:rPr>
              <w:t>Entrate di parte capitale destinate a spese correnti in base a specifiche disposizioni di legge o dei principi contabili</w:t>
            </w:r>
          </w:p>
        </w:tc>
        <w:tc>
          <w:tcPr>
            <w:tcW w:w="1698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6"/>
              <w:rPr>
                <w:sz w:val="28"/>
              </w:rPr>
            </w:pPr>
          </w:p>
          <w:p w:rsidR="00CD63FE" w:rsidRDefault="00D32060">
            <w:pPr>
              <w:pStyle w:val="TableParagraph"/>
              <w:ind w:left="370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8"/>
              <w:rPr>
                <w:sz w:val="27"/>
              </w:rPr>
            </w:pPr>
          </w:p>
          <w:p w:rsidR="00CD63FE" w:rsidRDefault="00D32060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8"/>
              <w:rPr>
                <w:sz w:val="27"/>
              </w:rPr>
            </w:pPr>
          </w:p>
          <w:p w:rsidR="00CD63FE" w:rsidRDefault="00D32060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29" w:type="dxa"/>
            <w:tcBorders>
              <w:top w:val="single" w:sz="2" w:space="0" w:color="0A0A0A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CD63FE">
            <w:pPr>
              <w:pStyle w:val="TableParagraph"/>
              <w:spacing w:before="8"/>
              <w:rPr>
                <w:sz w:val="27"/>
              </w:rPr>
            </w:pPr>
          </w:p>
          <w:p w:rsidR="00CD63FE" w:rsidRDefault="00D32060">
            <w:pPr>
              <w:pStyle w:val="TableParagraph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511"/>
        </w:trPr>
        <w:tc>
          <w:tcPr>
            <w:tcW w:w="8345" w:type="dxa"/>
            <w:gridSpan w:val="2"/>
            <w:tcBorders>
              <w:top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44"/>
              <w:ind w:left="132"/>
              <w:rPr>
                <w:sz w:val="18"/>
              </w:rPr>
            </w:pPr>
            <w:r>
              <w:rPr>
                <w:sz w:val="18"/>
              </w:rPr>
              <w:t>Entrate per accensione di prestiti destinate all'estinzione anticipata di prestiti</w:t>
            </w:r>
          </w:p>
        </w:tc>
        <w:tc>
          <w:tcPr>
            <w:tcW w:w="1698" w:type="dxa"/>
            <w:tcBorders>
              <w:top w:val="single" w:sz="2" w:space="0" w:color="0A0A0A"/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47"/>
              <w:ind w:left="369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3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37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29" w:type="dxa"/>
            <w:tcBorders>
              <w:top w:val="single" w:sz="2" w:space="0" w:color="0A0A0A"/>
              <w:left w:val="nil"/>
            </w:tcBorders>
          </w:tcPr>
          <w:p w:rsidR="00CD63FE" w:rsidRDefault="00D32060">
            <w:pPr>
              <w:pStyle w:val="TableParagraph"/>
              <w:spacing w:before="137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520"/>
        </w:trPr>
        <w:tc>
          <w:tcPr>
            <w:tcW w:w="8345" w:type="dxa"/>
            <w:gridSpan w:val="2"/>
            <w:tcBorders>
              <w:right w:val="nil"/>
            </w:tcBorders>
          </w:tcPr>
          <w:p w:rsidR="00CD63FE" w:rsidRDefault="00D32060">
            <w:pPr>
              <w:pStyle w:val="TableParagraph"/>
              <w:spacing w:before="61"/>
              <w:ind w:left="132"/>
              <w:rPr>
                <w:sz w:val="18"/>
              </w:rPr>
            </w:pPr>
            <w:r>
              <w:rPr>
                <w:sz w:val="18"/>
              </w:rPr>
              <w:t>Entrate Titolo 4.03 - Altri trasferimenti in conto capitale</w:t>
            </w: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60"/>
              <w:ind w:left="369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52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5.582.551,31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52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29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52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801"/>
        </w:trPr>
        <w:tc>
          <w:tcPr>
            <w:tcW w:w="8345" w:type="dxa"/>
            <w:gridSpan w:val="2"/>
            <w:tcBorders>
              <w:right w:val="nil"/>
            </w:tcBorders>
          </w:tcPr>
          <w:p w:rsidR="00CD63FE" w:rsidRDefault="00D32060">
            <w:pPr>
              <w:pStyle w:val="TableParagraph"/>
              <w:spacing w:before="77"/>
              <w:ind w:left="132"/>
              <w:rPr>
                <w:sz w:val="18"/>
              </w:rPr>
            </w:pPr>
            <w:r>
              <w:rPr>
                <w:sz w:val="18"/>
              </w:rPr>
              <w:t>Spese in conto capitale</w:t>
            </w:r>
          </w:p>
          <w:p w:rsidR="00CD63FE" w:rsidRDefault="00D32060">
            <w:pPr>
              <w:pStyle w:val="TableParagraph"/>
              <w:spacing w:before="128"/>
              <w:ind w:left="357"/>
              <w:rPr>
                <w:sz w:val="18"/>
              </w:rPr>
            </w:pPr>
            <w:r>
              <w:rPr>
                <w:sz w:val="18"/>
              </w:rPr>
              <w:t>- di cui fondo pluriennale vincolato</w:t>
            </w: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5"/>
              <w:rPr>
                <w:sz w:val="21"/>
              </w:rPr>
            </w:pPr>
          </w:p>
          <w:p w:rsidR="00CD63FE" w:rsidRDefault="00D32060">
            <w:pPr>
              <w:pStyle w:val="TableParagraph"/>
              <w:ind w:left="369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77"/>
              <w:ind w:left="597"/>
              <w:rPr>
                <w:sz w:val="18"/>
              </w:rPr>
            </w:pPr>
            <w:r>
              <w:rPr>
                <w:sz w:val="18"/>
              </w:rPr>
              <w:t>1.784.667.611,87</w:t>
            </w:r>
          </w:p>
          <w:p w:rsidR="00CD63FE" w:rsidRDefault="00D32060">
            <w:pPr>
              <w:pStyle w:val="TableParagraph"/>
              <w:spacing w:before="128"/>
              <w:ind w:left="847"/>
              <w:rPr>
                <w:sz w:val="18"/>
              </w:rPr>
            </w:pPr>
            <w:r>
              <w:rPr>
                <w:sz w:val="18"/>
              </w:rPr>
              <w:t>14.977.384,14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78"/>
              <w:ind w:left="551"/>
              <w:rPr>
                <w:sz w:val="18"/>
              </w:rPr>
            </w:pPr>
            <w:r>
              <w:rPr>
                <w:sz w:val="18"/>
              </w:rPr>
              <w:t>1.190.691.823,27</w:t>
            </w:r>
          </w:p>
          <w:p w:rsidR="00CD63FE" w:rsidRDefault="00D32060">
            <w:pPr>
              <w:pStyle w:val="TableParagraph"/>
              <w:spacing w:before="128"/>
              <w:ind w:left="901"/>
              <w:rPr>
                <w:sz w:val="18"/>
              </w:rPr>
            </w:pPr>
            <w:r>
              <w:rPr>
                <w:sz w:val="18"/>
              </w:rPr>
              <w:t>2.107.634,21</w:t>
            </w:r>
          </w:p>
        </w:tc>
        <w:tc>
          <w:tcPr>
            <w:tcW w:w="2029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77"/>
              <w:ind w:right="1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551.714.753,47</w:t>
            </w:r>
          </w:p>
          <w:p w:rsidR="00CD63FE" w:rsidRDefault="00D32060">
            <w:pPr>
              <w:pStyle w:val="TableParagraph"/>
              <w:spacing w:before="128"/>
              <w:ind w:right="137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0,00</w:t>
            </w:r>
          </w:p>
        </w:tc>
      </w:tr>
      <w:tr w:rsidR="00CD63FE">
        <w:trPr>
          <w:trHeight w:val="525"/>
        </w:trPr>
        <w:tc>
          <w:tcPr>
            <w:tcW w:w="8345" w:type="dxa"/>
            <w:gridSpan w:val="2"/>
            <w:tcBorders>
              <w:right w:val="nil"/>
            </w:tcBorders>
          </w:tcPr>
          <w:p w:rsidR="00CD63FE" w:rsidRDefault="00D32060">
            <w:pPr>
              <w:pStyle w:val="TableParagraph"/>
              <w:spacing w:before="156"/>
              <w:ind w:left="132"/>
              <w:rPr>
                <w:sz w:val="18"/>
              </w:rPr>
            </w:pPr>
            <w:r>
              <w:rPr>
                <w:sz w:val="18"/>
              </w:rPr>
              <w:t>Spese Titolo 2.04 - Altri trasferimenti in conto capitale</w:t>
            </w: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58"/>
              <w:ind w:left="369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48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14.924.157,72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4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5.564.700,00</w:t>
            </w:r>
          </w:p>
        </w:tc>
        <w:tc>
          <w:tcPr>
            <w:tcW w:w="2029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148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5.448.504,15</w:t>
            </w:r>
          </w:p>
        </w:tc>
      </w:tr>
      <w:tr w:rsidR="00CD63FE">
        <w:trPr>
          <w:trHeight w:val="522"/>
        </w:trPr>
        <w:tc>
          <w:tcPr>
            <w:tcW w:w="8345" w:type="dxa"/>
            <w:gridSpan w:val="2"/>
            <w:tcBorders>
              <w:right w:val="nil"/>
            </w:tcBorders>
          </w:tcPr>
          <w:p w:rsidR="00CD63FE" w:rsidRDefault="00D32060">
            <w:pPr>
              <w:pStyle w:val="TableParagraph"/>
              <w:spacing w:before="157"/>
              <w:ind w:left="132"/>
              <w:rPr>
                <w:sz w:val="18"/>
              </w:rPr>
            </w:pPr>
            <w:r>
              <w:rPr>
                <w:sz w:val="18"/>
              </w:rPr>
              <w:t>Spese Titolo 3.01.01 - Acquisizioni di partecipazioni e conferimenti di capitale</w:t>
            </w: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59"/>
              <w:ind w:left="369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50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8.374.382,73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50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29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150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521"/>
        </w:trPr>
        <w:tc>
          <w:tcPr>
            <w:tcW w:w="8345" w:type="dxa"/>
            <w:gridSpan w:val="2"/>
            <w:tcBorders>
              <w:right w:val="nil"/>
            </w:tcBorders>
          </w:tcPr>
          <w:p w:rsidR="00CD63FE" w:rsidRDefault="00D32060">
            <w:pPr>
              <w:pStyle w:val="TableParagraph"/>
              <w:spacing w:before="171"/>
              <w:ind w:left="131"/>
              <w:rPr>
                <w:sz w:val="18"/>
              </w:rPr>
            </w:pPr>
            <w:r>
              <w:rPr>
                <w:sz w:val="18"/>
              </w:rPr>
              <w:t>Disavanzo pregresso derivante da debito autorizzato e non contratto (presunto)</w:t>
            </w: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90"/>
              <w:ind w:left="370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25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26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29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125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527"/>
        </w:trPr>
        <w:tc>
          <w:tcPr>
            <w:tcW w:w="8345" w:type="dxa"/>
            <w:gridSpan w:val="2"/>
            <w:tcBorders>
              <w:right w:val="nil"/>
            </w:tcBorders>
            <w:shd w:val="clear" w:color="auto" w:fill="BFFFFF"/>
          </w:tcPr>
          <w:p w:rsidR="00CD63FE" w:rsidRDefault="00D32060">
            <w:pPr>
              <w:pStyle w:val="TableParagraph"/>
              <w:spacing w:before="156"/>
              <w:ind w:left="132"/>
              <w:rPr>
                <w:sz w:val="18"/>
              </w:rPr>
            </w:pPr>
            <w:r>
              <w:rPr>
                <w:sz w:val="18"/>
              </w:rPr>
              <w:t>Variazioni di attività finaziarie (se positivo)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BFFFFF"/>
          </w:tcPr>
          <w:p w:rsidR="00CD63FE" w:rsidRDefault="00D32060">
            <w:pPr>
              <w:pStyle w:val="TableParagraph"/>
              <w:spacing w:before="158"/>
              <w:ind w:left="369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left w:val="nil"/>
              <w:right w:val="nil"/>
            </w:tcBorders>
            <w:shd w:val="clear" w:color="auto" w:fill="BFFFFF"/>
          </w:tcPr>
          <w:p w:rsidR="00CD63FE" w:rsidRDefault="00D32060">
            <w:pPr>
              <w:pStyle w:val="TableParagraph"/>
              <w:spacing w:before="114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52.900.000,00</w:t>
            </w:r>
          </w:p>
        </w:tc>
        <w:tc>
          <w:tcPr>
            <w:tcW w:w="2011" w:type="dxa"/>
            <w:tcBorders>
              <w:left w:val="nil"/>
              <w:right w:val="nil"/>
            </w:tcBorders>
            <w:shd w:val="clear" w:color="auto" w:fill="BFFFFF"/>
          </w:tcPr>
          <w:p w:rsidR="00CD63FE" w:rsidRDefault="00D32060">
            <w:pPr>
              <w:pStyle w:val="TableParagraph"/>
              <w:spacing w:before="14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3.000.000,00</w:t>
            </w:r>
          </w:p>
        </w:tc>
        <w:tc>
          <w:tcPr>
            <w:tcW w:w="2029" w:type="dxa"/>
            <w:tcBorders>
              <w:left w:val="nil"/>
            </w:tcBorders>
            <w:shd w:val="clear" w:color="auto" w:fill="BFFFFF"/>
          </w:tcPr>
          <w:p w:rsidR="00CD63FE" w:rsidRDefault="00D32060">
            <w:pPr>
              <w:pStyle w:val="TableParagraph"/>
              <w:spacing w:before="151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3.000.000,00</w:t>
            </w:r>
          </w:p>
        </w:tc>
      </w:tr>
      <w:tr w:rsidR="00CD63FE">
        <w:trPr>
          <w:trHeight w:val="529"/>
        </w:trPr>
        <w:tc>
          <w:tcPr>
            <w:tcW w:w="4859" w:type="dxa"/>
            <w:tcBorders>
              <w:right w:val="nil"/>
            </w:tcBorders>
          </w:tcPr>
          <w:p w:rsidR="00CD63FE" w:rsidRDefault="00CD6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4" w:type="dxa"/>
            <w:gridSpan w:val="2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06"/>
              <w:ind w:left="1779"/>
              <w:rPr>
                <w:b/>
                <w:sz w:val="18"/>
              </w:rPr>
            </w:pPr>
            <w:r>
              <w:rPr>
                <w:b/>
                <w:sz w:val="18"/>
              </w:rPr>
              <w:t>B) EQUILIBRIO DI PARTE CAPITALE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02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-227.698.236,78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02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-293.289.843,86</w:t>
            </w:r>
          </w:p>
        </w:tc>
        <w:tc>
          <w:tcPr>
            <w:tcW w:w="2029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102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-146.908.570,24</w:t>
            </w:r>
          </w:p>
        </w:tc>
      </w:tr>
    </w:tbl>
    <w:p w:rsidR="00CD63FE" w:rsidRDefault="00CD63FE">
      <w:pPr>
        <w:jc w:val="right"/>
        <w:rPr>
          <w:sz w:val="18"/>
        </w:rPr>
        <w:sectPr w:rsidR="00CD63FE">
          <w:pgSz w:w="16440" w:h="12480" w:orient="landscape"/>
          <w:pgMar w:top="1460" w:right="80" w:bottom="360" w:left="20" w:header="35" w:footer="163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2"/>
        <w:gridCol w:w="2040"/>
        <w:gridCol w:w="2011"/>
        <w:gridCol w:w="2031"/>
      </w:tblGrid>
      <w:tr w:rsidR="00CD63FE">
        <w:trPr>
          <w:trHeight w:val="1209"/>
        </w:trPr>
        <w:tc>
          <w:tcPr>
            <w:tcW w:w="10042" w:type="dxa"/>
          </w:tcPr>
          <w:p w:rsidR="00CD63FE" w:rsidRDefault="00CD63FE">
            <w:pPr>
              <w:pStyle w:val="TableParagraph"/>
              <w:rPr>
                <w:sz w:val="20"/>
              </w:rPr>
            </w:pPr>
          </w:p>
          <w:p w:rsidR="00CD63FE" w:rsidRDefault="00D32060">
            <w:pPr>
              <w:pStyle w:val="TableParagraph"/>
              <w:spacing w:before="166"/>
              <w:ind w:left="3275"/>
              <w:rPr>
                <w:b/>
                <w:sz w:val="18"/>
              </w:rPr>
            </w:pPr>
            <w:r>
              <w:rPr>
                <w:b/>
                <w:sz w:val="18"/>
              </w:rPr>
              <w:t>EQUILIBRIO ECONOMICO-FINANZIARIO</w:t>
            </w:r>
          </w:p>
        </w:tc>
        <w:tc>
          <w:tcPr>
            <w:tcW w:w="2040" w:type="dxa"/>
          </w:tcPr>
          <w:p w:rsidR="00CD63FE" w:rsidRDefault="00CD63FE">
            <w:pPr>
              <w:pStyle w:val="TableParagraph"/>
              <w:spacing w:before="10"/>
              <w:rPr>
                <w:sz w:val="18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81" w:right="73" w:hanging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DI RIFERIMENTO DEL BILANCIO 2019</w:t>
            </w:r>
          </w:p>
        </w:tc>
        <w:tc>
          <w:tcPr>
            <w:tcW w:w="2011" w:type="dxa"/>
          </w:tcPr>
          <w:p w:rsidR="00CD63FE" w:rsidRDefault="00CD63FE">
            <w:pPr>
              <w:pStyle w:val="TableParagraph"/>
              <w:spacing w:before="8"/>
              <w:rPr>
                <w:sz w:val="29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481" w:right="403" w:hanging="15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2020</w:t>
            </w:r>
          </w:p>
        </w:tc>
        <w:tc>
          <w:tcPr>
            <w:tcW w:w="2031" w:type="dxa"/>
          </w:tcPr>
          <w:p w:rsidR="00CD63FE" w:rsidRDefault="00CD63FE">
            <w:pPr>
              <w:pStyle w:val="TableParagraph"/>
              <w:spacing w:before="4"/>
              <w:rPr>
                <w:sz w:val="29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558" w:right="346" w:hanging="15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2021</w:t>
            </w:r>
          </w:p>
        </w:tc>
      </w:tr>
      <w:tr w:rsidR="00CD63FE">
        <w:trPr>
          <w:trHeight w:val="584"/>
        </w:trPr>
        <w:tc>
          <w:tcPr>
            <w:tcW w:w="10042" w:type="dxa"/>
            <w:tcBorders>
              <w:right w:val="nil"/>
            </w:tcBorders>
          </w:tcPr>
          <w:p w:rsidR="00CD63FE" w:rsidRDefault="00CD63FE">
            <w:pPr>
              <w:pStyle w:val="TableParagraph"/>
              <w:spacing w:before="8"/>
              <w:rPr>
                <w:sz w:val="19"/>
              </w:rPr>
            </w:pPr>
          </w:p>
          <w:p w:rsidR="00CD63FE" w:rsidRDefault="00D32060">
            <w:pPr>
              <w:pStyle w:val="TableParagraph"/>
              <w:tabs>
                <w:tab w:val="left" w:pos="8727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risultato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presunto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amministrazione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vincolato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finanziamento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finanziarie</w:t>
            </w:r>
            <w:r>
              <w:rPr>
                <w:sz w:val="18"/>
              </w:rPr>
              <w:tab/>
            </w:r>
            <w:r>
              <w:rPr>
                <w:position w:val="2"/>
                <w:sz w:val="18"/>
              </w:rPr>
              <w:t>(+)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4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61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1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160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548"/>
        </w:trPr>
        <w:tc>
          <w:tcPr>
            <w:tcW w:w="10042" w:type="dxa"/>
            <w:tcBorders>
              <w:right w:val="nil"/>
            </w:tcBorders>
          </w:tcPr>
          <w:p w:rsidR="00CD63FE" w:rsidRDefault="00CD63FE">
            <w:pPr>
              <w:pStyle w:val="TableParagraph"/>
              <w:spacing w:before="9"/>
              <w:rPr>
                <w:sz w:val="18"/>
              </w:rPr>
            </w:pPr>
          </w:p>
          <w:p w:rsidR="00CD63FE" w:rsidRDefault="00D32060">
            <w:pPr>
              <w:pStyle w:val="TableParagraph"/>
              <w:tabs>
                <w:tab w:val="left" w:pos="8727"/>
              </w:tabs>
              <w:ind w:left="106"/>
              <w:rPr>
                <w:sz w:val="18"/>
              </w:rPr>
            </w:pPr>
            <w:r>
              <w:rPr>
                <w:sz w:val="18"/>
              </w:rPr>
              <w:t>Entrate Titolo 5.00 - Riduzioni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finanziarie</w:t>
            </w:r>
            <w:r>
              <w:rPr>
                <w:sz w:val="18"/>
              </w:rPr>
              <w:tab/>
            </w:r>
            <w:r>
              <w:rPr>
                <w:position w:val="-3"/>
                <w:sz w:val="18"/>
              </w:rPr>
              <w:t>(+)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9"/>
              <w:rPr>
                <w:sz w:val="18"/>
              </w:rPr>
            </w:pPr>
          </w:p>
          <w:p w:rsidR="00CD63FE" w:rsidRDefault="00D32060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1.557.001.101,65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9"/>
              <w:rPr>
                <w:sz w:val="18"/>
              </w:rPr>
            </w:pPr>
          </w:p>
          <w:p w:rsidR="00CD63FE" w:rsidRDefault="00D3206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1.507.001.101,65</w:t>
            </w:r>
          </w:p>
        </w:tc>
        <w:tc>
          <w:tcPr>
            <w:tcW w:w="2031" w:type="dxa"/>
            <w:tcBorders>
              <w:left w:val="nil"/>
            </w:tcBorders>
          </w:tcPr>
          <w:p w:rsidR="00CD63FE" w:rsidRDefault="00CD63FE">
            <w:pPr>
              <w:pStyle w:val="TableParagraph"/>
              <w:spacing w:before="9"/>
              <w:rPr>
                <w:sz w:val="18"/>
              </w:rPr>
            </w:pPr>
          </w:p>
          <w:p w:rsidR="00CD63FE" w:rsidRDefault="00D32060"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1.507.001.101,65</w:t>
            </w:r>
          </w:p>
        </w:tc>
      </w:tr>
      <w:tr w:rsidR="00CD63FE">
        <w:trPr>
          <w:trHeight w:val="542"/>
        </w:trPr>
        <w:tc>
          <w:tcPr>
            <w:tcW w:w="10042" w:type="dxa"/>
            <w:tcBorders>
              <w:right w:val="nil"/>
            </w:tcBorders>
          </w:tcPr>
          <w:p w:rsidR="00CD63FE" w:rsidRDefault="00D32060">
            <w:pPr>
              <w:pStyle w:val="TableParagraph"/>
              <w:tabs>
                <w:tab w:val="left" w:pos="8727"/>
              </w:tabs>
              <w:spacing w:before="210"/>
              <w:ind w:left="106"/>
              <w:rPr>
                <w:sz w:val="18"/>
              </w:rPr>
            </w:pPr>
            <w:r>
              <w:rPr>
                <w:sz w:val="18"/>
              </w:rPr>
              <w:t>Spese Titolo 3.00 - Incremento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finanziarie</w:t>
            </w:r>
            <w:r>
              <w:rPr>
                <w:sz w:val="18"/>
              </w:rPr>
              <w:tab/>
            </w:r>
            <w:r>
              <w:rPr>
                <w:position w:val="-3"/>
                <w:sz w:val="18"/>
              </w:rPr>
              <w:t>(-)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3"/>
              <w:rPr>
                <w:sz w:val="18"/>
              </w:rPr>
            </w:pPr>
          </w:p>
          <w:p w:rsidR="00CD63FE" w:rsidRDefault="00D32060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1.512.475.484,38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4"/>
              <w:rPr>
                <w:sz w:val="18"/>
              </w:rPr>
            </w:pPr>
          </w:p>
          <w:p w:rsidR="00CD63FE" w:rsidRDefault="00D3206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1.504.001.101,65</w:t>
            </w:r>
          </w:p>
        </w:tc>
        <w:tc>
          <w:tcPr>
            <w:tcW w:w="2031" w:type="dxa"/>
            <w:tcBorders>
              <w:left w:val="nil"/>
            </w:tcBorders>
          </w:tcPr>
          <w:p w:rsidR="00CD63FE" w:rsidRDefault="00CD63FE">
            <w:pPr>
              <w:pStyle w:val="TableParagraph"/>
              <w:spacing w:before="3"/>
              <w:rPr>
                <w:sz w:val="18"/>
              </w:rPr>
            </w:pPr>
          </w:p>
          <w:p w:rsidR="00CD63FE" w:rsidRDefault="00D32060"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1.504.001.101,65</w:t>
            </w:r>
          </w:p>
        </w:tc>
      </w:tr>
      <w:tr w:rsidR="00CD63FE">
        <w:trPr>
          <w:trHeight w:val="537"/>
        </w:trPr>
        <w:tc>
          <w:tcPr>
            <w:tcW w:w="10042" w:type="dxa"/>
            <w:tcBorders>
              <w:right w:val="nil"/>
            </w:tcBorders>
          </w:tcPr>
          <w:p w:rsidR="00CD63FE" w:rsidRDefault="00D32060">
            <w:pPr>
              <w:pStyle w:val="TableParagraph"/>
              <w:tabs>
                <w:tab w:val="left" w:pos="8727"/>
              </w:tabs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Entrate Titolo 5.01.01 - Alienazioni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partecipazioni</w:t>
            </w:r>
            <w:r>
              <w:rPr>
                <w:sz w:val="18"/>
              </w:rPr>
              <w:tab/>
            </w:r>
            <w:r>
              <w:rPr>
                <w:position w:val="-3"/>
                <w:sz w:val="18"/>
              </w:rPr>
              <w:t>(-)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9"/>
              <w:rPr>
                <w:sz w:val="21"/>
              </w:rPr>
            </w:pPr>
          </w:p>
          <w:p w:rsidR="00CD63FE" w:rsidRDefault="00D32060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9"/>
              <w:rPr>
                <w:sz w:val="21"/>
              </w:rPr>
            </w:pPr>
          </w:p>
          <w:p w:rsidR="00CD63FE" w:rsidRDefault="00D32060">
            <w:pPr>
              <w:pStyle w:val="TableParagraph"/>
              <w:spacing w:before="1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1" w:type="dxa"/>
            <w:tcBorders>
              <w:left w:val="nil"/>
            </w:tcBorders>
          </w:tcPr>
          <w:p w:rsidR="00CD63FE" w:rsidRDefault="00CD63FE">
            <w:pPr>
              <w:pStyle w:val="TableParagraph"/>
              <w:spacing w:before="9"/>
              <w:rPr>
                <w:sz w:val="21"/>
              </w:rPr>
            </w:pPr>
          </w:p>
          <w:p w:rsidR="00CD63FE" w:rsidRDefault="00D32060"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542"/>
        </w:trPr>
        <w:tc>
          <w:tcPr>
            <w:tcW w:w="10042" w:type="dxa"/>
            <w:tcBorders>
              <w:right w:val="nil"/>
            </w:tcBorders>
          </w:tcPr>
          <w:p w:rsidR="00CD63FE" w:rsidRDefault="00D32060">
            <w:pPr>
              <w:pStyle w:val="TableParagraph"/>
              <w:tabs>
                <w:tab w:val="left" w:pos="8727"/>
              </w:tabs>
              <w:spacing w:before="210"/>
              <w:ind w:left="106"/>
              <w:rPr>
                <w:sz w:val="18"/>
              </w:rPr>
            </w:pPr>
            <w:r>
              <w:rPr>
                <w:sz w:val="18"/>
              </w:rPr>
              <w:t>Spese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3.01.01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Acquisizioni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partecipazioni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conferimenti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capitale</w:t>
            </w:r>
            <w:r>
              <w:rPr>
                <w:sz w:val="18"/>
              </w:rPr>
              <w:tab/>
            </w:r>
            <w:r>
              <w:rPr>
                <w:position w:val="-3"/>
                <w:sz w:val="18"/>
              </w:rPr>
              <w:t>(+)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3"/>
              <w:rPr>
                <w:sz w:val="18"/>
              </w:rPr>
            </w:pPr>
          </w:p>
          <w:p w:rsidR="00CD63FE" w:rsidRDefault="00D32060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8.374.382,73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3"/>
              <w:rPr>
                <w:sz w:val="18"/>
              </w:rPr>
            </w:pPr>
          </w:p>
          <w:p w:rsidR="00CD63FE" w:rsidRDefault="00D3206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1" w:type="dxa"/>
            <w:tcBorders>
              <w:left w:val="nil"/>
            </w:tcBorders>
          </w:tcPr>
          <w:p w:rsidR="00CD63FE" w:rsidRDefault="00CD63FE">
            <w:pPr>
              <w:pStyle w:val="TableParagraph"/>
              <w:spacing w:before="3"/>
              <w:rPr>
                <w:sz w:val="18"/>
              </w:rPr>
            </w:pPr>
          </w:p>
          <w:p w:rsidR="00CD63FE" w:rsidRDefault="00D32060"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537"/>
        </w:trPr>
        <w:tc>
          <w:tcPr>
            <w:tcW w:w="10042" w:type="dxa"/>
            <w:tcBorders>
              <w:right w:val="nil"/>
            </w:tcBorders>
          </w:tcPr>
          <w:p w:rsidR="00CD63FE" w:rsidRDefault="00D32060">
            <w:pPr>
              <w:pStyle w:val="TableParagraph"/>
              <w:spacing w:before="106"/>
              <w:ind w:right="2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C) VARIAZIONI ATTIVITA' FINANZIARIA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0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52.900.000,00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02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3.000.000,00</w:t>
            </w:r>
          </w:p>
        </w:tc>
        <w:tc>
          <w:tcPr>
            <w:tcW w:w="2031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101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3.000.000,00</w:t>
            </w:r>
          </w:p>
        </w:tc>
      </w:tr>
      <w:tr w:rsidR="00CD63FE">
        <w:trPr>
          <w:trHeight w:val="586"/>
        </w:trPr>
        <w:tc>
          <w:tcPr>
            <w:tcW w:w="10042" w:type="dxa"/>
            <w:tcBorders>
              <w:right w:val="nil"/>
            </w:tcBorders>
          </w:tcPr>
          <w:p w:rsidR="00CD63FE" w:rsidRDefault="00CD63FE">
            <w:pPr>
              <w:pStyle w:val="TableParagraph"/>
              <w:spacing w:before="1"/>
            </w:pPr>
          </w:p>
          <w:p w:rsidR="00CD63FE" w:rsidRDefault="00D32060">
            <w:pPr>
              <w:pStyle w:val="TableParagraph"/>
              <w:ind w:right="3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EQUILIBRIO FINALE ( D=A+B)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8"/>
              <w:rPr>
                <w:sz w:val="23"/>
              </w:rPr>
            </w:pPr>
          </w:p>
          <w:p w:rsidR="00CD63FE" w:rsidRDefault="00D32060"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9"/>
              <w:rPr>
                <w:sz w:val="23"/>
              </w:rPr>
            </w:pPr>
          </w:p>
          <w:p w:rsidR="00CD63FE" w:rsidRDefault="00D32060">
            <w:pPr>
              <w:pStyle w:val="TableParagraph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2031" w:type="dxa"/>
            <w:tcBorders>
              <w:left w:val="nil"/>
            </w:tcBorders>
          </w:tcPr>
          <w:p w:rsidR="00CD63FE" w:rsidRDefault="00CD63FE">
            <w:pPr>
              <w:pStyle w:val="TableParagraph"/>
              <w:spacing w:before="8"/>
              <w:rPr>
                <w:sz w:val="23"/>
              </w:rPr>
            </w:pPr>
          </w:p>
          <w:p w:rsidR="00CD63FE" w:rsidRDefault="00D32060">
            <w:pPr>
              <w:pStyle w:val="TableParagraph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CD63FE">
        <w:trPr>
          <w:trHeight w:val="1870"/>
        </w:trPr>
        <w:tc>
          <w:tcPr>
            <w:tcW w:w="16124" w:type="dxa"/>
            <w:gridSpan w:val="4"/>
          </w:tcPr>
          <w:p w:rsidR="00CD63FE" w:rsidRDefault="00CD6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D63FE" w:rsidRDefault="00CD63FE">
      <w:pPr>
        <w:rPr>
          <w:rFonts w:ascii="Times New Roman"/>
          <w:sz w:val="18"/>
        </w:rPr>
        <w:sectPr w:rsidR="00CD63FE">
          <w:pgSz w:w="16440" w:h="12480" w:orient="landscape"/>
          <w:pgMar w:top="1460" w:right="80" w:bottom="1360" w:left="20" w:header="35" w:footer="163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2"/>
        <w:gridCol w:w="1490"/>
        <w:gridCol w:w="2040"/>
        <w:gridCol w:w="2011"/>
        <w:gridCol w:w="2030"/>
      </w:tblGrid>
      <w:tr w:rsidR="00CD63FE">
        <w:trPr>
          <w:trHeight w:val="1209"/>
        </w:trPr>
        <w:tc>
          <w:tcPr>
            <w:tcW w:w="10042" w:type="dxa"/>
            <w:gridSpan w:val="2"/>
          </w:tcPr>
          <w:p w:rsidR="00CD63FE" w:rsidRDefault="00CD63FE">
            <w:pPr>
              <w:pStyle w:val="TableParagraph"/>
              <w:rPr>
                <w:sz w:val="20"/>
              </w:rPr>
            </w:pPr>
          </w:p>
          <w:p w:rsidR="00CD63FE" w:rsidRDefault="00D32060">
            <w:pPr>
              <w:pStyle w:val="TableParagraph"/>
              <w:spacing w:before="166"/>
              <w:ind w:left="3275"/>
              <w:rPr>
                <w:b/>
                <w:sz w:val="18"/>
              </w:rPr>
            </w:pPr>
            <w:r>
              <w:rPr>
                <w:b/>
                <w:sz w:val="18"/>
              </w:rPr>
              <w:t>EQUILIBRIO ECONOMICO-FINANZIARIO</w:t>
            </w:r>
          </w:p>
        </w:tc>
        <w:tc>
          <w:tcPr>
            <w:tcW w:w="2040" w:type="dxa"/>
          </w:tcPr>
          <w:p w:rsidR="00CD63FE" w:rsidRDefault="00CD63FE">
            <w:pPr>
              <w:pStyle w:val="TableParagraph"/>
              <w:spacing w:before="10"/>
              <w:rPr>
                <w:sz w:val="18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81" w:right="73" w:hanging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DI RIFERIMENTO DEL BILANCIO 2019</w:t>
            </w:r>
          </w:p>
        </w:tc>
        <w:tc>
          <w:tcPr>
            <w:tcW w:w="2011" w:type="dxa"/>
          </w:tcPr>
          <w:p w:rsidR="00CD63FE" w:rsidRDefault="00CD63FE">
            <w:pPr>
              <w:pStyle w:val="TableParagraph"/>
              <w:spacing w:before="8"/>
              <w:rPr>
                <w:sz w:val="29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481" w:right="403" w:hanging="15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2020</w:t>
            </w:r>
          </w:p>
        </w:tc>
        <w:tc>
          <w:tcPr>
            <w:tcW w:w="2030" w:type="dxa"/>
          </w:tcPr>
          <w:p w:rsidR="00CD63FE" w:rsidRDefault="00CD63FE">
            <w:pPr>
              <w:pStyle w:val="TableParagraph"/>
              <w:spacing w:before="4"/>
              <w:rPr>
                <w:sz w:val="29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558" w:right="345" w:hanging="15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2021</w:t>
            </w:r>
          </w:p>
        </w:tc>
      </w:tr>
      <w:tr w:rsidR="00CD63FE">
        <w:trPr>
          <w:trHeight w:val="896"/>
        </w:trPr>
        <w:tc>
          <w:tcPr>
            <w:tcW w:w="16123" w:type="dxa"/>
            <w:gridSpan w:val="5"/>
          </w:tcPr>
          <w:p w:rsidR="00CD63FE" w:rsidRDefault="00CD63FE">
            <w:pPr>
              <w:pStyle w:val="TableParagraph"/>
              <w:spacing w:before="7"/>
              <w:rPr>
                <w:sz w:val="21"/>
              </w:rPr>
            </w:pPr>
          </w:p>
          <w:p w:rsidR="00CD63FE" w:rsidRDefault="00D32060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Saldo corrente ai fini della copertura degli investimenti pluriennali delle Regioni a statuto ordinario (5)</w:t>
            </w:r>
          </w:p>
        </w:tc>
      </w:tr>
      <w:tr w:rsidR="00CD63FE">
        <w:trPr>
          <w:trHeight w:val="519"/>
        </w:trPr>
        <w:tc>
          <w:tcPr>
            <w:tcW w:w="8552" w:type="dxa"/>
            <w:tcBorders>
              <w:right w:val="nil"/>
            </w:tcBorders>
          </w:tcPr>
          <w:p w:rsidR="00CD63FE" w:rsidRDefault="00D32060">
            <w:pPr>
              <w:pStyle w:val="TableParagraph"/>
              <w:spacing w:before="176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A) Equilibrio di parte corrente</w:t>
            </w:r>
          </w:p>
        </w:tc>
        <w:tc>
          <w:tcPr>
            <w:tcW w:w="1490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76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227.698.236,78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77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293.289.843,86</w:t>
            </w:r>
          </w:p>
        </w:tc>
        <w:tc>
          <w:tcPr>
            <w:tcW w:w="2030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176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146.908.570,24</w:t>
            </w:r>
          </w:p>
        </w:tc>
      </w:tr>
      <w:tr w:rsidR="00CD63FE">
        <w:trPr>
          <w:trHeight w:val="717"/>
        </w:trPr>
        <w:tc>
          <w:tcPr>
            <w:tcW w:w="8552" w:type="dxa"/>
            <w:tcBorders>
              <w:right w:val="nil"/>
            </w:tcBorders>
          </w:tcPr>
          <w:p w:rsidR="00CD63FE" w:rsidRDefault="00D32060">
            <w:pPr>
              <w:pStyle w:val="TableParagraph"/>
              <w:spacing w:before="170" w:line="244" w:lineRule="auto"/>
              <w:ind w:left="102" w:right="2044"/>
              <w:rPr>
                <w:sz w:val="18"/>
              </w:rPr>
            </w:pPr>
            <w:r>
              <w:rPr>
                <w:sz w:val="18"/>
              </w:rPr>
              <w:t>Utilizzo risultato di amministrazione destinato al finanziamento di spese correnti e al rimborso di prestiti</w:t>
            </w:r>
          </w:p>
        </w:tc>
        <w:tc>
          <w:tcPr>
            <w:tcW w:w="1490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3"/>
              <w:rPr>
                <w:sz w:val="20"/>
              </w:rPr>
            </w:pPr>
          </w:p>
          <w:p w:rsidR="00CD63FE" w:rsidRDefault="00D3206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1"/>
              <w:rPr>
                <w:sz w:val="26"/>
              </w:rPr>
            </w:pPr>
          </w:p>
          <w:p w:rsidR="00CD63FE" w:rsidRDefault="00D32060">
            <w:pPr>
              <w:pStyle w:val="TableParagraph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458.897.099,92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  <w:tcBorders>
              <w:left w:val="nil"/>
            </w:tcBorders>
          </w:tcPr>
          <w:p w:rsidR="00CD63FE" w:rsidRDefault="00CD63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FE">
        <w:trPr>
          <w:trHeight w:val="576"/>
        </w:trPr>
        <w:tc>
          <w:tcPr>
            <w:tcW w:w="8552" w:type="dxa"/>
            <w:tcBorders>
              <w:right w:val="nil"/>
            </w:tcBorders>
          </w:tcPr>
          <w:p w:rsidR="00CD63FE" w:rsidRDefault="00D32060">
            <w:pPr>
              <w:pStyle w:val="TableParagraph"/>
              <w:spacing w:before="44" w:line="242" w:lineRule="auto"/>
              <w:ind w:left="102" w:right="292"/>
              <w:rPr>
                <w:sz w:val="18"/>
              </w:rPr>
            </w:pPr>
            <w:r>
              <w:rPr>
                <w:sz w:val="18"/>
              </w:rPr>
              <w:t>Fondo pluriennale vincolato per spese correnti iscritto in entrata al netto delle componenti non vincolate derivanti dal riaccertamento ord.</w:t>
            </w:r>
          </w:p>
        </w:tc>
        <w:tc>
          <w:tcPr>
            <w:tcW w:w="1490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9"/>
              <w:rPr>
                <w:sz w:val="19"/>
              </w:rPr>
            </w:pPr>
          </w:p>
          <w:p w:rsidR="00CD63FE" w:rsidRDefault="00D32060">
            <w:pPr>
              <w:pStyle w:val="TableParagraph"/>
              <w:ind w:left="208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86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25.807,58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87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0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86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527"/>
        </w:trPr>
        <w:tc>
          <w:tcPr>
            <w:tcW w:w="8552" w:type="dxa"/>
            <w:tcBorders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64"/>
              <w:ind w:left="102"/>
              <w:rPr>
                <w:sz w:val="18"/>
              </w:rPr>
            </w:pPr>
            <w:r>
              <w:rPr>
                <w:sz w:val="18"/>
              </w:rPr>
              <w:t>Entrate titoli 1-2-3 non sanitarie con specifico vincolo di destinazione</w:t>
            </w:r>
          </w:p>
        </w:tc>
        <w:tc>
          <w:tcPr>
            <w:tcW w:w="1490" w:type="dxa"/>
            <w:tcBorders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76"/>
              <w:ind w:left="208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57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1.041.070.560,80</w:t>
            </w:r>
          </w:p>
        </w:tc>
        <w:tc>
          <w:tcPr>
            <w:tcW w:w="2011" w:type="dxa"/>
            <w:tcBorders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57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627.919.198,00</w:t>
            </w:r>
          </w:p>
        </w:tc>
        <w:tc>
          <w:tcPr>
            <w:tcW w:w="2030" w:type="dxa"/>
            <w:tcBorders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157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523.763.062,68</w:t>
            </w:r>
          </w:p>
        </w:tc>
      </w:tr>
      <w:tr w:rsidR="00CD63FE">
        <w:trPr>
          <w:trHeight w:val="478"/>
        </w:trPr>
        <w:tc>
          <w:tcPr>
            <w:tcW w:w="8552" w:type="dxa"/>
            <w:tcBorders>
              <w:top w:val="single" w:sz="2" w:space="0" w:color="0A0A0A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40"/>
              <w:ind w:left="102"/>
              <w:rPr>
                <w:sz w:val="18"/>
              </w:rPr>
            </w:pPr>
            <w:r>
              <w:rPr>
                <w:sz w:val="18"/>
              </w:rPr>
              <w:t>Entrate titoli 1-2-3 destinate al finanziamento del SSN</w:t>
            </w:r>
          </w:p>
        </w:tc>
        <w:tc>
          <w:tcPr>
            <w:tcW w:w="149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3"/>
              <w:rPr>
                <w:sz w:val="16"/>
              </w:rPr>
            </w:pPr>
          </w:p>
          <w:p w:rsidR="00CD63FE" w:rsidRDefault="00D3206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sz w:val="18"/>
              </w:rPr>
              <w:t>(-)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40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7.795.706.417,68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34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7.785.360.333,37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141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7.686.480.580,52</w:t>
            </w:r>
          </w:p>
        </w:tc>
      </w:tr>
      <w:tr w:rsidR="00CD63FE">
        <w:trPr>
          <w:trHeight w:val="641"/>
        </w:trPr>
        <w:tc>
          <w:tcPr>
            <w:tcW w:w="8552" w:type="dxa"/>
            <w:tcBorders>
              <w:top w:val="single" w:sz="2" w:space="0" w:color="0A0A0A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78"/>
              <w:ind w:left="102"/>
              <w:rPr>
                <w:sz w:val="18"/>
              </w:rPr>
            </w:pPr>
            <w:r>
              <w:rPr>
                <w:sz w:val="18"/>
              </w:rPr>
              <w:t>Spese correnti non sanitarie finanziate da entrate con specifico vincolo di destinazione</w:t>
            </w:r>
          </w:p>
        </w:tc>
        <w:tc>
          <w:tcPr>
            <w:tcW w:w="149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2"/>
              <w:rPr>
                <w:sz w:val="16"/>
              </w:rPr>
            </w:pPr>
          </w:p>
          <w:p w:rsidR="00CD63FE" w:rsidRDefault="00D32060">
            <w:pPr>
              <w:pStyle w:val="TableParagraph"/>
              <w:ind w:left="208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38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1.037.959.312,96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38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627.650.509,00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138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523.659.798,68</w:t>
            </w:r>
          </w:p>
        </w:tc>
      </w:tr>
      <w:tr w:rsidR="00CD63FE">
        <w:trPr>
          <w:trHeight w:val="835"/>
        </w:trPr>
        <w:tc>
          <w:tcPr>
            <w:tcW w:w="8552" w:type="dxa"/>
            <w:tcBorders>
              <w:top w:val="single" w:sz="2" w:space="0" w:color="0A0A0A"/>
              <w:left w:val="single" w:sz="2" w:space="0" w:color="0A0A0A"/>
              <w:bottom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06" w:line="364" w:lineRule="auto"/>
              <w:ind w:left="102" w:right="292"/>
              <w:rPr>
                <w:sz w:val="18"/>
              </w:rPr>
            </w:pPr>
            <w:r>
              <w:rPr>
                <w:sz w:val="18"/>
              </w:rPr>
              <w:t>Fondo pluriennale vincolato di parte corrente (di spesa) al netto delle componenti non vincolate derivanti dal riaccertamento ord.</w:t>
            </w:r>
          </w:p>
        </w:tc>
        <w:tc>
          <w:tcPr>
            <w:tcW w:w="149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7"/>
              <w:rPr>
                <w:sz w:val="21"/>
              </w:rPr>
            </w:pPr>
          </w:p>
          <w:p w:rsidR="00CD63FE" w:rsidRDefault="00D3206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6"/>
              <w:rPr>
                <w:sz w:val="17"/>
              </w:rPr>
            </w:pPr>
          </w:p>
          <w:p w:rsidR="00CD63FE" w:rsidRDefault="00D32060">
            <w:pPr>
              <w:pStyle w:val="TableParagraph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bottom w:val="single" w:sz="2" w:space="0" w:color="0A0A0A"/>
              <w:right w:val="nil"/>
            </w:tcBorders>
          </w:tcPr>
          <w:p w:rsidR="00CD63FE" w:rsidRDefault="00CD63FE">
            <w:pPr>
              <w:pStyle w:val="TableParagraph"/>
              <w:spacing w:before="6"/>
              <w:rPr>
                <w:sz w:val="17"/>
              </w:rPr>
            </w:pPr>
          </w:p>
          <w:p w:rsidR="00CD63FE" w:rsidRDefault="00D32060">
            <w:pPr>
              <w:pStyle w:val="TableParagraph"/>
              <w:spacing w:before="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bottom w:val="single" w:sz="2" w:space="0" w:color="0A0A0A"/>
              <w:right w:val="single" w:sz="2" w:space="0" w:color="0A0A0A"/>
            </w:tcBorders>
          </w:tcPr>
          <w:p w:rsidR="00CD63FE" w:rsidRDefault="00CD63FE">
            <w:pPr>
              <w:pStyle w:val="TableParagraph"/>
              <w:spacing w:before="6"/>
              <w:rPr>
                <w:sz w:val="17"/>
              </w:rPr>
            </w:pPr>
          </w:p>
          <w:p w:rsidR="00CD63FE" w:rsidRDefault="00D32060"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D63FE">
        <w:trPr>
          <w:trHeight w:val="525"/>
        </w:trPr>
        <w:tc>
          <w:tcPr>
            <w:tcW w:w="8552" w:type="dxa"/>
            <w:tcBorders>
              <w:top w:val="single" w:sz="2" w:space="0" w:color="0A0A0A"/>
              <w:left w:val="single" w:sz="2" w:space="0" w:color="0A0A0A"/>
              <w:right w:val="nil"/>
            </w:tcBorders>
          </w:tcPr>
          <w:p w:rsidR="00CD63FE" w:rsidRDefault="00D32060">
            <w:pPr>
              <w:pStyle w:val="TableParagraph"/>
              <w:spacing w:before="153"/>
              <w:ind w:left="102"/>
              <w:rPr>
                <w:sz w:val="18"/>
              </w:rPr>
            </w:pPr>
            <w:r>
              <w:rPr>
                <w:sz w:val="18"/>
              </w:rPr>
              <w:t>Spese correnti finanziate da entrate destinate al SSN</w:t>
            </w:r>
          </w:p>
        </w:tc>
        <w:tc>
          <w:tcPr>
            <w:tcW w:w="1490" w:type="dxa"/>
            <w:tcBorders>
              <w:top w:val="single" w:sz="2" w:space="0" w:color="0A0A0A"/>
              <w:left w:val="nil"/>
              <w:right w:val="nil"/>
            </w:tcBorders>
          </w:tcPr>
          <w:p w:rsidR="00CD63FE" w:rsidRDefault="00CD63FE">
            <w:pPr>
              <w:pStyle w:val="TableParagraph"/>
              <w:spacing w:before="9"/>
              <w:rPr>
                <w:sz w:val="16"/>
              </w:rPr>
            </w:pPr>
          </w:p>
          <w:p w:rsidR="00CD63FE" w:rsidRDefault="00D3206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sz w:val="18"/>
              </w:rPr>
              <w:t>(+)</w:t>
            </w:r>
          </w:p>
        </w:tc>
        <w:tc>
          <w:tcPr>
            <w:tcW w:w="2040" w:type="dxa"/>
            <w:tcBorders>
              <w:top w:val="single" w:sz="2" w:space="0" w:color="0A0A0A"/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45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7.645.606.417,68</w:t>
            </w:r>
          </w:p>
        </w:tc>
        <w:tc>
          <w:tcPr>
            <w:tcW w:w="2011" w:type="dxa"/>
            <w:tcBorders>
              <w:top w:val="single" w:sz="2" w:space="0" w:color="0A0A0A"/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46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7.635.095.633,37</w:t>
            </w:r>
          </w:p>
        </w:tc>
        <w:tc>
          <w:tcPr>
            <w:tcW w:w="2030" w:type="dxa"/>
            <w:tcBorders>
              <w:top w:val="single" w:sz="2" w:space="0" w:color="0A0A0A"/>
              <w:left w:val="nil"/>
              <w:right w:val="single" w:sz="2" w:space="0" w:color="0A0A0A"/>
            </w:tcBorders>
          </w:tcPr>
          <w:p w:rsidR="00CD63FE" w:rsidRDefault="00D32060">
            <w:pPr>
              <w:pStyle w:val="TableParagraph"/>
              <w:spacing w:before="145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7.686.332.076,37</w:t>
            </w:r>
          </w:p>
        </w:tc>
      </w:tr>
      <w:tr w:rsidR="00CD63FE">
        <w:trPr>
          <w:trHeight w:val="532"/>
        </w:trPr>
        <w:tc>
          <w:tcPr>
            <w:tcW w:w="8552" w:type="dxa"/>
            <w:tcBorders>
              <w:right w:val="nil"/>
            </w:tcBorders>
          </w:tcPr>
          <w:p w:rsidR="00CD63FE" w:rsidRDefault="00D32060">
            <w:pPr>
              <w:pStyle w:val="TableParagraph"/>
              <w:spacing w:before="108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Equilibrio di parte corrente ai fini della copertura degli investimenti plurien.</w:t>
            </w:r>
          </w:p>
        </w:tc>
        <w:tc>
          <w:tcPr>
            <w:tcW w:w="1490" w:type="dxa"/>
            <w:tcBorders>
              <w:left w:val="nil"/>
              <w:right w:val="nil"/>
            </w:tcBorders>
          </w:tcPr>
          <w:p w:rsidR="00CD63FE" w:rsidRDefault="00CD63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04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-384.435.918,56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CD63FE" w:rsidRDefault="00D32060">
            <w:pPr>
              <w:pStyle w:val="TableParagraph"/>
              <w:spacing w:before="105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142.756.454,86</w:t>
            </w:r>
          </w:p>
        </w:tc>
        <w:tc>
          <w:tcPr>
            <w:tcW w:w="2030" w:type="dxa"/>
            <w:tcBorders>
              <w:left w:val="nil"/>
            </w:tcBorders>
          </w:tcPr>
          <w:p w:rsidR="00CD63FE" w:rsidRDefault="00D32060">
            <w:pPr>
              <w:pStyle w:val="TableParagraph"/>
              <w:spacing w:before="104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146.656.802,09</w:t>
            </w:r>
          </w:p>
        </w:tc>
      </w:tr>
    </w:tbl>
    <w:p w:rsidR="00CD63FE" w:rsidRDefault="00CD63FE">
      <w:pPr>
        <w:jc w:val="right"/>
        <w:rPr>
          <w:sz w:val="18"/>
        </w:rPr>
        <w:sectPr w:rsidR="00CD63FE">
          <w:pgSz w:w="16440" w:h="12480" w:orient="landscape"/>
          <w:pgMar w:top="1460" w:right="80" w:bottom="1360" w:left="20" w:header="35" w:footer="163" w:gutter="0"/>
          <w:cols w:space="720"/>
        </w:sectPr>
      </w:pPr>
    </w:p>
    <w:p w:rsidR="00CD63FE" w:rsidRDefault="00CD63FE">
      <w:pPr>
        <w:pStyle w:val="Corpotesto"/>
        <w:spacing w:before="4"/>
        <w:rPr>
          <w:sz w:val="8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2"/>
        <w:gridCol w:w="2040"/>
        <w:gridCol w:w="2011"/>
        <w:gridCol w:w="2031"/>
      </w:tblGrid>
      <w:tr w:rsidR="00CD63FE">
        <w:trPr>
          <w:trHeight w:val="1210"/>
        </w:trPr>
        <w:tc>
          <w:tcPr>
            <w:tcW w:w="10042" w:type="dxa"/>
          </w:tcPr>
          <w:p w:rsidR="00CD63FE" w:rsidRDefault="00CD63FE">
            <w:pPr>
              <w:pStyle w:val="TableParagraph"/>
              <w:rPr>
                <w:sz w:val="20"/>
              </w:rPr>
            </w:pPr>
          </w:p>
          <w:p w:rsidR="00CD63FE" w:rsidRDefault="00D32060">
            <w:pPr>
              <w:pStyle w:val="TableParagraph"/>
              <w:spacing w:before="166"/>
              <w:ind w:left="3275"/>
              <w:rPr>
                <w:b/>
                <w:sz w:val="18"/>
              </w:rPr>
            </w:pPr>
            <w:r>
              <w:rPr>
                <w:b/>
                <w:sz w:val="18"/>
              </w:rPr>
              <w:t>EQUILIBRIO ECONOMICO-FINANZIARIO</w:t>
            </w:r>
          </w:p>
        </w:tc>
        <w:tc>
          <w:tcPr>
            <w:tcW w:w="2040" w:type="dxa"/>
          </w:tcPr>
          <w:p w:rsidR="00CD63FE" w:rsidRDefault="00CD63FE">
            <w:pPr>
              <w:pStyle w:val="TableParagraph"/>
              <w:spacing w:before="10"/>
              <w:rPr>
                <w:sz w:val="18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81" w:right="73" w:hanging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DI RIFERIMENTO DEL BILANCIO 2019</w:t>
            </w:r>
          </w:p>
        </w:tc>
        <w:tc>
          <w:tcPr>
            <w:tcW w:w="2011" w:type="dxa"/>
          </w:tcPr>
          <w:p w:rsidR="00CD63FE" w:rsidRDefault="00CD63FE">
            <w:pPr>
              <w:pStyle w:val="TableParagraph"/>
              <w:spacing w:before="8"/>
              <w:rPr>
                <w:sz w:val="29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481" w:right="403" w:hanging="15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2020</w:t>
            </w:r>
          </w:p>
        </w:tc>
        <w:tc>
          <w:tcPr>
            <w:tcW w:w="2031" w:type="dxa"/>
          </w:tcPr>
          <w:p w:rsidR="00CD63FE" w:rsidRDefault="00CD63FE">
            <w:pPr>
              <w:pStyle w:val="TableParagraph"/>
              <w:spacing w:before="4"/>
              <w:rPr>
                <w:sz w:val="29"/>
              </w:rPr>
            </w:pPr>
          </w:p>
          <w:p w:rsidR="00CD63FE" w:rsidRDefault="00D32060">
            <w:pPr>
              <w:pStyle w:val="TableParagraph"/>
              <w:spacing w:line="242" w:lineRule="auto"/>
              <w:ind w:left="558" w:right="346" w:hanging="158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ANNO 2021</w:t>
            </w:r>
          </w:p>
        </w:tc>
      </w:tr>
    </w:tbl>
    <w:p w:rsidR="00CD63FE" w:rsidRDefault="00D32060">
      <w:pPr>
        <w:pStyle w:val="Paragrafoelenco"/>
        <w:numPr>
          <w:ilvl w:val="0"/>
          <w:numId w:val="1"/>
        </w:numPr>
        <w:tabs>
          <w:tab w:val="left" w:pos="866"/>
        </w:tabs>
        <w:spacing w:before="0" w:line="203" w:lineRule="exact"/>
        <w:rPr>
          <w:sz w:val="18"/>
        </w:rPr>
      </w:pPr>
      <w:r>
        <w:rPr>
          <w:sz w:val="18"/>
        </w:rPr>
        <w:t>Escluso il disavanzo derivante dal debito autorizzato e non</w:t>
      </w:r>
      <w:r>
        <w:rPr>
          <w:spacing w:val="-11"/>
          <w:sz w:val="18"/>
        </w:rPr>
        <w:t xml:space="preserve"> </w:t>
      </w:r>
      <w:r>
        <w:rPr>
          <w:sz w:val="18"/>
        </w:rPr>
        <w:t>contratto</w:t>
      </w:r>
    </w:p>
    <w:p w:rsidR="00CD63FE" w:rsidRDefault="00D32060">
      <w:pPr>
        <w:pStyle w:val="Paragrafoelenco"/>
        <w:numPr>
          <w:ilvl w:val="0"/>
          <w:numId w:val="1"/>
        </w:numPr>
        <w:tabs>
          <w:tab w:val="left" w:pos="866"/>
        </w:tabs>
        <w:spacing w:before="3" w:line="242" w:lineRule="auto"/>
        <w:ind w:left="595" w:right="1206" w:firstLine="0"/>
        <w:rPr>
          <w:sz w:val="18"/>
        </w:rPr>
      </w:pPr>
      <w:r>
        <w:rPr>
          <w:sz w:val="18"/>
        </w:rPr>
        <w:t>Corrispondono</w:t>
      </w:r>
      <w:r>
        <w:rPr>
          <w:spacing w:val="-4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>entrate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capitale</w:t>
      </w:r>
      <w:r>
        <w:rPr>
          <w:spacing w:val="-4"/>
          <w:sz w:val="18"/>
        </w:rPr>
        <w:t xml:space="preserve"> </w:t>
      </w:r>
      <w:r>
        <w:rPr>
          <w:sz w:val="18"/>
        </w:rPr>
        <w:t>relative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soli</w:t>
      </w:r>
      <w:r>
        <w:rPr>
          <w:spacing w:val="-3"/>
          <w:sz w:val="18"/>
        </w:rPr>
        <w:t xml:space="preserve"> </w:t>
      </w:r>
      <w:r>
        <w:rPr>
          <w:sz w:val="18"/>
        </w:rPr>
        <w:t>contributi</w:t>
      </w:r>
      <w:r>
        <w:rPr>
          <w:spacing w:val="-4"/>
          <w:sz w:val="18"/>
        </w:rPr>
        <w:t xml:space="preserve"> </w:t>
      </w:r>
      <w:r>
        <w:rPr>
          <w:sz w:val="18"/>
        </w:rPr>
        <w:t>agli</w:t>
      </w:r>
      <w:r>
        <w:rPr>
          <w:spacing w:val="-4"/>
          <w:sz w:val="18"/>
        </w:rPr>
        <w:t xml:space="preserve"> </w:t>
      </w:r>
      <w:r>
        <w:rPr>
          <w:sz w:val="18"/>
        </w:rPr>
        <w:t>investimenti</w:t>
      </w:r>
      <w:r>
        <w:rPr>
          <w:spacing w:val="-4"/>
          <w:sz w:val="18"/>
        </w:rPr>
        <w:t xml:space="preserve"> </w:t>
      </w:r>
      <w:r>
        <w:rPr>
          <w:sz w:val="18"/>
        </w:rPr>
        <w:t>destinati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rimborso</w:t>
      </w:r>
      <w:r>
        <w:rPr>
          <w:spacing w:val="-4"/>
          <w:sz w:val="18"/>
        </w:rPr>
        <w:t xml:space="preserve"> </w:t>
      </w:r>
      <w:r>
        <w:rPr>
          <w:sz w:val="18"/>
        </w:rPr>
        <w:t>prestiti</w:t>
      </w:r>
      <w:r>
        <w:rPr>
          <w:spacing w:val="-4"/>
          <w:sz w:val="18"/>
        </w:rPr>
        <w:t xml:space="preserve"> </w:t>
      </w:r>
      <w:r>
        <w:rPr>
          <w:sz w:val="18"/>
        </w:rPr>
        <w:t>corrispondenti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voce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piano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conti</w:t>
      </w:r>
      <w:r>
        <w:rPr>
          <w:spacing w:val="-4"/>
          <w:sz w:val="18"/>
        </w:rPr>
        <w:t xml:space="preserve"> </w:t>
      </w:r>
      <w:r>
        <w:rPr>
          <w:sz w:val="18"/>
        </w:rPr>
        <w:t>finanziario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codifica E.4.02.06.00.000.</w:t>
      </w:r>
    </w:p>
    <w:p w:rsidR="00CD63FE" w:rsidRDefault="00D32060">
      <w:pPr>
        <w:pStyle w:val="Paragrafoelenco"/>
        <w:numPr>
          <w:ilvl w:val="0"/>
          <w:numId w:val="1"/>
        </w:numPr>
        <w:tabs>
          <w:tab w:val="left" w:pos="866"/>
        </w:tabs>
        <w:rPr>
          <w:sz w:val="18"/>
          <w:szCs w:val="18"/>
        </w:rPr>
      </w:pPr>
      <w:r>
        <w:rPr>
          <w:sz w:val="18"/>
          <w:szCs w:val="18"/>
        </w:rPr>
        <w:t>Il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corrispettivo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cessione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beni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immobili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può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destinato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allestinzione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anticipata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prestiti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principio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applicato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contabilità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finanziaria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3.13.</w:t>
      </w:r>
    </w:p>
    <w:p w:rsidR="00CD63FE" w:rsidRDefault="00D32060">
      <w:pPr>
        <w:pStyle w:val="Paragrafoelenco"/>
        <w:numPr>
          <w:ilvl w:val="0"/>
          <w:numId w:val="1"/>
        </w:numPr>
        <w:tabs>
          <w:tab w:val="left" w:pos="866"/>
        </w:tabs>
        <w:spacing w:before="3" w:line="242" w:lineRule="auto"/>
        <w:ind w:left="595" w:right="1721" w:firstLine="0"/>
        <w:rPr>
          <w:sz w:val="18"/>
        </w:rPr>
      </w:pP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spese</w:t>
      </w:r>
      <w:r>
        <w:rPr>
          <w:spacing w:val="-5"/>
          <w:sz w:val="18"/>
        </w:rPr>
        <w:t xml:space="preserve"> </w:t>
      </w:r>
      <w:r>
        <w:rPr>
          <w:sz w:val="18"/>
        </w:rPr>
        <w:t>correnti</w:t>
      </w:r>
      <w:r>
        <w:rPr>
          <w:spacing w:val="-4"/>
          <w:sz w:val="18"/>
        </w:rPr>
        <w:t xml:space="preserve"> </w:t>
      </w:r>
      <w:r>
        <w:rPr>
          <w:sz w:val="18"/>
        </w:rPr>
        <w:t>finanziate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entrate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specifico</w:t>
      </w:r>
      <w:r>
        <w:rPr>
          <w:spacing w:val="-5"/>
          <w:sz w:val="18"/>
        </w:rPr>
        <w:t xml:space="preserve"> </w:t>
      </w:r>
      <w:r>
        <w:rPr>
          <w:sz w:val="18"/>
        </w:rPr>
        <w:t>vincolo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destinazione</w:t>
      </w:r>
      <w:r>
        <w:rPr>
          <w:spacing w:val="-4"/>
          <w:sz w:val="18"/>
        </w:rPr>
        <w:t xml:space="preserve"> </w:t>
      </w:r>
      <w:r>
        <w:rPr>
          <w:sz w:val="18"/>
        </w:rPr>
        <w:t>comprendono</w:t>
      </w:r>
      <w:r>
        <w:rPr>
          <w:spacing w:val="-5"/>
          <w:sz w:val="18"/>
        </w:rPr>
        <w:t xml:space="preserve"> </w:t>
      </w:r>
      <w:r>
        <w:rPr>
          <w:sz w:val="18"/>
        </w:rPr>
        <w:t>quelle</w:t>
      </w:r>
      <w:r>
        <w:rPr>
          <w:spacing w:val="-5"/>
          <w:sz w:val="18"/>
        </w:rPr>
        <w:t xml:space="preserve"> </w:t>
      </w:r>
      <w:r>
        <w:rPr>
          <w:sz w:val="18"/>
        </w:rPr>
        <w:t>finanziate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entrate</w:t>
      </w:r>
      <w:r>
        <w:rPr>
          <w:spacing w:val="-5"/>
          <w:sz w:val="18"/>
        </w:rPr>
        <w:t xml:space="preserve"> </w:t>
      </w:r>
      <w:r>
        <w:rPr>
          <w:sz w:val="18"/>
        </w:rPr>
        <w:t>vincolate</w:t>
      </w:r>
      <w:r>
        <w:rPr>
          <w:spacing w:val="-4"/>
          <w:sz w:val="18"/>
        </w:rPr>
        <w:t xml:space="preserve"> </w:t>
      </w:r>
      <w:r>
        <w:rPr>
          <w:sz w:val="18"/>
        </w:rPr>
        <w:t>accertate</w:t>
      </w:r>
      <w:r>
        <w:rPr>
          <w:spacing w:val="-5"/>
          <w:sz w:val="18"/>
        </w:rPr>
        <w:t xml:space="preserve"> </w:t>
      </w:r>
      <w:r>
        <w:rPr>
          <w:sz w:val="18"/>
        </w:rPr>
        <w:t>nell'esercizio,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FPV</w:t>
      </w:r>
      <w:r>
        <w:rPr>
          <w:spacing w:val="-5"/>
          <w:sz w:val="18"/>
        </w:rPr>
        <w:t xml:space="preserve"> </w:t>
      </w:r>
      <w:r>
        <w:rPr>
          <w:sz w:val="18"/>
        </w:rPr>
        <w:t>d'entrata.</w:t>
      </w:r>
      <w:r>
        <w:rPr>
          <w:spacing w:val="-4"/>
          <w:sz w:val="18"/>
        </w:rPr>
        <w:t xml:space="preserve"> </w:t>
      </w:r>
      <w:r>
        <w:rPr>
          <w:sz w:val="18"/>
        </w:rPr>
        <w:t>Gli stanziamenti di spesa considerati nella voce comp</w:t>
      </w:r>
      <w:r>
        <w:rPr>
          <w:sz w:val="18"/>
        </w:rPr>
        <w:t>rendono il relativo FPV di</w:t>
      </w:r>
      <w:r>
        <w:rPr>
          <w:spacing w:val="-12"/>
          <w:sz w:val="18"/>
        </w:rPr>
        <w:t xml:space="preserve"> </w:t>
      </w:r>
      <w:r>
        <w:rPr>
          <w:sz w:val="18"/>
        </w:rPr>
        <w:t>spesa.</w:t>
      </w:r>
    </w:p>
    <w:p w:rsidR="00CD63FE" w:rsidRDefault="00D32060">
      <w:pPr>
        <w:pStyle w:val="Paragrafoelenco"/>
        <w:numPr>
          <w:ilvl w:val="0"/>
          <w:numId w:val="1"/>
        </w:numPr>
        <w:tabs>
          <w:tab w:val="left" w:pos="866"/>
        </w:tabs>
        <w:spacing w:line="242" w:lineRule="auto"/>
        <w:ind w:left="595" w:right="1029" w:firstLine="0"/>
        <w:rPr>
          <w:sz w:val="18"/>
          <w:szCs w:val="18"/>
        </w:rPr>
      </w:pPr>
      <w:r>
        <w:rPr>
          <w:sz w:val="18"/>
          <w:szCs w:val="18"/>
        </w:rPr>
        <w:t xml:space="preserve">Con riferimento a ciascun esercizio, il saldo positivo dellequilibrio di parte corrente in termini di competenza finanziaria può costituire copertura agli investimenti imputati agli esercizi successivi per un importo non </w:t>
      </w:r>
      <w:r>
        <w:rPr>
          <w:sz w:val="18"/>
          <w:szCs w:val="18"/>
        </w:rPr>
        <w:t>superiore al minore valore tra la media dei saldi di parte corrente in termini di competenza e la media dei saldi di parte corrente in termini di cassa registrati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negli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ultimi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tre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esercizi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rendicontati,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sempre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positivi,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determinati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netto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dellutilizzo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dellavanzo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amministrazione,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fondo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cassa,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entrate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ricorrenti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che</w:t>
      </w:r>
    </w:p>
    <w:p w:rsidR="00CD63FE" w:rsidRDefault="00D32060">
      <w:pPr>
        <w:pStyle w:val="Corpotesto"/>
        <w:spacing w:before="2"/>
        <w:ind w:left="595"/>
      </w:pPr>
      <w:r>
        <w:t>non hanno dato copertura a impegni, o pagamenti, delle gestioni vincolati e delle risorse riguardanti il finanziamento del Servizio sanitario nazionale.</w:t>
      </w:r>
    </w:p>
    <w:p w:rsidR="00CD63FE" w:rsidRDefault="00D32060">
      <w:pPr>
        <w:pStyle w:val="Paragrafoelenco"/>
        <w:numPr>
          <w:ilvl w:val="0"/>
          <w:numId w:val="1"/>
        </w:numPr>
        <w:tabs>
          <w:tab w:val="left" w:pos="866"/>
        </w:tabs>
        <w:spacing w:before="3" w:line="242" w:lineRule="auto"/>
        <w:ind w:left="595" w:right="1660" w:firstLine="0"/>
        <w:rPr>
          <w:sz w:val="18"/>
          <w:szCs w:val="18"/>
        </w:rPr>
      </w:pPr>
      <w:r>
        <w:rPr>
          <w:sz w:val="18"/>
          <w:szCs w:val="18"/>
        </w:rPr>
        <w:t>Con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riferimento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ciascun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esercizio,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saldo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positivo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dellequilibrio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parte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corrente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termini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competenza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finanziaria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può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costituire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copertura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agli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investimenti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imputati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agli esercizi successivi per un importo non superiore alla media dei saldi di parte corrente in termini di competenza registrati negli ultimi tre esercizi rendicontati, se sempre positivi, determinati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netto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dellutilizzo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dellavanzo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amministrazione,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fondo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cassa,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entrate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ricorrenti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che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hanno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dato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copertura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impegni,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pagamenti.</w:t>
      </w:r>
    </w:p>
    <w:sectPr w:rsidR="00CD63FE">
      <w:pgSz w:w="16440" w:h="12480" w:orient="landscape"/>
      <w:pgMar w:top="1360" w:right="80" w:bottom="1360" w:left="20" w:header="35" w:footer="1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2060">
      <w:r>
        <w:separator/>
      </w:r>
    </w:p>
  </w:endnote>
  <w:endnote w:type="continuationSeparator" w:id="0">
    <w:p w:rsidR="00000000" w:rsidRDefault="00D3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FE" w:rsidRDefault="00D32060">
    <w:pPr>
      <w:pStyle w:val="Corpotesto"/>
      <w:spacing w:line="14" w:lineRule="auto"/>
      <w:rPr>
        <w:sz w:val="15"/>
      </w:rPr>
    </w:pPr>
    <w:r>
      <w:rPr>
        <w:noProof/>
        <w:lang w:val="it-IT" w:eastAsia="it-IT"/>
      </w:rPr>
      <w:drawing>
        <wp:anchor distT="0" distB="0" distL="0" distR="0" simplePos="0" relativeHeight="268409711" behindDoc="1" locked="0" layoutInCell="1" allowOverlap="1">
          <wp:simplePos x="0" y="0"/>
          <wp:positionH relativeFrom="page">
            <wp:posOffset>8779661</wp:posOffset>
          </wp:positionH>
          <wp:positionV relativeFrom="page">
            <wp:posOffset>7051613</wp:posOffset>
          </wp:positionV>
          <wp:extent cx="750418" cy="710051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18" cy="7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1.75pt;margin-top:602.5pt;width:54.45pt;height:12.1pt;z-index:-25720;mso-position-horizontal-relative:page;mso-position-vertical-relative:page" filled="f" stroked="f">
          <v:textbox inset="0,0,0,0">
            <w:txbxContent>
              <w:p w:rsidR="00CD63FE" w:rsidRDefault="00D32060">
                <w:pPr>
                  <w:pStyle w:val="Corpotesto"/>
                  <w:spacing w:before="14"/>
                  <w:ind w:left="20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6</w:t>
                </w:r>
                <w:r>
                  <w:fldChar w:fldCharType="end"/>
                </w:r>
                <w:r>
                  <w:t xml:space="preserve"> di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2060">
      <w:r>
        <w:separator/>
      </w:r>
    </w:p>
  </w:footnote>
  <w:footnote w:type="continuationSeparator" w:id="0">
    <w:p w:rsidR="00000000" w:rsidRDefault="00D32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FE" w:rsidRDefault="00D32060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09591" behindDoc="1" locked="0" layoutInCell="1" allowOverlap="1">
          <wp:simplePos x="0" y="0"/>
          <wp:positionH relativeFrom="page">
            <wp:posOffset>256031</wp:posOffset>
          </wp:positionH>
          <wp:positionV relativeFrom="page">
            <wp:posOffset>98552</wp:posOffset>
          </wp:positionV>
          <wp:extent cx="394208" cy="633476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4208" cy="633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91.15pt;margin-top:.75pt;width:203.55pt;height:10.95pt;z-index:-25840;mso-position-horizontal-relative:page;mso-position-vertical-relative:page" filled="f" stroked="f">
          <v:textbox inset="0,0,0,0">
            <w:txbxContent>
              <w:p w:rsidR="00CD63FE" w:rsidRDefault="00D3206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n.9- Bilancio di previsione al D.Lgs 118/2011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315.25pt;margin-top:1.5pt;width:196pt;height:44.75pt;z-index:-25816;mso-position-horizontal-relative:page;mso-position-vertical-relative:page" filled="f" stroked="f">
          <v:textbox inset="0,0,0,0">
            <w:txbxContent>
              <w:p w:rsidR="00CD63FE" w:rsidRDefault="00D32060">
                <w:pPr>
                  <w:spacing w:before="14"/>
                  <w:ind w:left="2" w:right="26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F/6</w:t>
                </w:r>
              </w:p>
              <w:p w:rsidR="00CD63FE" w:rsidRDefault="00D32060">
                <w:pPr>
                  <w:spacing w:before="149" w:line="252" w:lineRule="exact"/>
                  <w:ind w:left="26" w:right="26"/>
                  <w:jc w:val="center"/>
                </w:pPr>
                <w:r>
                  <w:t>BILANCIO DI PREVISIONE 2019-2021</w:t>
                </w:r>
              </w:p>
              <w:p w:rsidR="00CD63FE" w:rsidRDefault="00D32060">
                <w:pPr>
                  <w:spacing w:line="275" w:lineRule="exact"/>
                  <w:ind w:left="8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EQUILIBRI DI BILANCIO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0pt;margin-top:56.35pt;width:88.6pt;height:13.2pt;z-index:-25792;mso-position-horizontal-relative:page;mso-position-vertical-relative:page" filled="f" stroked="f">
          <v:textbox inset="0,0,0,0">
            <w:txbxContent>
              <w:p w:rsidR="00CD63FE" w:rsidRDefault="00D32060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REGIONE PUGLIA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754.15pt;margin-top:55.65pt;width:47.05pt;height:12.1pt;z-index:-25768;mso-position-horizontal-relative:page;mso-position-vertical-relative:page" filled="f" stroked="f">
          <v:textbox inset="0,0,0,0">
            <w:txbxContent>
              <w:p w:rsidR="00CD63FE" w:rsidRDefault="00D32060">
                <w:pPr>
                  <w:pStyle w:val="Corpotesto"/>
                  <w:spacing w:before="14"/>
                  <w:ind w:left="20"/>
                </w:pPr>
                <w:r>
                  <w:t>28/12/2018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D637C"/>
    <w:multiLevelType w:val="hybridMultilevel"/>
    <w:tmpl w:val="D46E2B7A"/>
    <w:lvl w:ilvl="0" w:tplc="340E62C2">
      <w:start w:val="1"/>
      <w:numFmt w:val="decimal"/>
      <w:lvlText w:val="(%1)"/>
      <w:lvlJc w:val="left"/>
      <w:pPr>
        <w:ind w:left="865" w:hanging="270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05D057DA">
      <w:numFmt w:val="bullet"/>
      <w:lvlText w:val="•"/>
      <w:lvlJc w:val="left"/>
      <w:pPr>
        <w:ind w:left="2408" w:hanging="270"/>
      </w:pPr>
      <w:rPr>
        <w:rFonts w:hint="default"/>
      </w:rPr>
    </w:lvl>
    <w:lvl w:ilvl="2" w:tplc="9BEE88D2">
      <w:numFmt w:val="bullet"/>
      <w:lvlText w:val="•"/>
      <w:lvlJc w:val="left"/>
      <w:pPr>
        <w:ind w:left="3956" w:hanging="270"/>
      </w:pPr>
      <w:rPr>
        <w:rFonts w:hint="default"/>
      </w:rPr>
    </w:lvl>
    <w:lvl w:ilvl="3" w:tplc="510E1612">
      <w:numFmt w:val="bullet"/>
      <w:lvlText w:val="•"/>
      <w:lvlJc w:val="left"/>
      <w:pPr>
        <w:ind w:left="5504" w:hanging="270"/>
      </w:pPr>
      <w:rPr>
        <w:rFonts w:hint="default"/>
      </w:rPr>
    </w:lvl>
    <w:lvl w:ilvl="4" w:tplc="1410EAA4">
      <w:numFmt w:val="bullet"/>
      <w:lvlText w:val="•"/>
      <w:lvlJc w:val="left"/>
      <w:pPr>
        <w:ind w:left="7052" w:hanging="270"/>
      </w:pPr>
      <w:rPr>
        <w:rFonts w:hint="default"/>
      </w:rPr>
    </w:lvl>
    <w:lvl w:ilvl="5" w:tplc="4CEC6C5A">
      <w:numFmt w:val="bullet"/>
      <w:lvlText w:val="•"/>
      <w:lvlJc w:val="left"/>
      <w:pPr>
        <w:ind w:left="8600" w:hanging="270"/>
      </w:pPr>
      <w:rPr>
        <w:rFonts w:hint="default"/>
      </w:rPr>
    </w:lvl>
    <w:lvl w:ilvl="6" w:tplc="440CE732">
      <w:numFmt w:val="bullet"/>
      <w:lvlText w:val="•"/>
      <w:lvlJc w:val="left"/>
      <w:pPr>
        <w:ind w:left="10148" w:hanging="270"/>
      </w:pPr>
      <w:rPr>
        <w:rFonts w:hint="default"/>
      </w:rPr>
    </w:lvl>
    <w:lvl w:ilvl="7" w:tplc="18861FA6">
      <w:numFmt w:val="bullet"/>
      <w:lvlText w:val="•"/>
      <w:lvlJc w:val="left"/>
      <w:pPr>
        <w:ind w:left="11696" w:hanging="270"/>
      </w:pPr>
      <w:rPr>
        <w:rFonts w:hint="default"/>
      </w:rPr>
    </w:lvl>
    <w:lvl w:ilvl="8" w:tplc="8C6ED40C">
      <w:numFmt w:val="bullet"/>
      <w:lvlText w:val="•"/>
      <w:lvlJc w:val="left"/>
      <w:pPr>
        <w:ind w:left="13244" w:hanging="2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D63FE"/>
    <w:rsid w:val="00CD63FE"/>
    <w:rsid w:val="00D3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266"/>
      <w:outlineLvl w:val="0"/>
    </w:pPr>
    <w:rPr>
      <w:rFonts w:ascii="Courier New" w:eastAsia="Courier New" w:hAnsi="Courier New" w:cs="Courier New"/>
      <w:b/>
      <w:bCs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2"/>
      <w:ind w:left="595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FBI93028.pdf</vt:lpstr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FBI93028.pdf</dc:title>
  <dc:creator>Oracle Reports</dc:creator>
  <cp:lastModifiedBy>Pace Giuseppina</cp:lastModifiedBy>
  <cp:revision>2</cp:revision>
  <cp:lastPrinted>2019-01-10T07:59:00Z</cp:lastPrinted>
  <dcterms:created xsi:type="dcterms:W3CDTF">2019-01-09T10:56:00Z</dcterms:created>
  <dcterms:modified xsi:type="dcterms:W3CDTF">2019-01-10T07:59:00Z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Oracle10gR2 AS Reports Services</vt:lpwstr>
  </property>
  <property fmtid="{D5CDD505-2E9C-101B-9397-08002B2CF9AE}" pid="4" name="LastSaved">
    <vt:filetime>2019-01-09T00:00:00Z</vt:filetime>
  </property>
</Properties>
</file>